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BE556" w14:textId="0CC155BB" w:rsidR="00191513" w:rsidRDefault="00191513" w:rsidP="00191513">
      <w:pPr>
        <w:pStyle w:val="Standard"/>
        <w:jc w:val="center"/>
      </w:pPr>
      <w:r>
        <w:rPr>
          <w:noProof/>
        </w:rPr>
        <w:drawing>
          <wp:anchor distT="0" distB="0" distL="114300" distR="114300" simplePos="0" relativeHeight="251658240" behindDoc="0" locked="0" layoutInCell="1" allowOverlap="1" wp14:anchorId="7D92FFF5" wp14:editId="16386682">
            <wp:simplePos x="0" y="0"/>
            <wp:positionH relativeFrom="column">
              <wp:posOffset>14605</wp:posOffset>
            </wp:positionH>
            <wp:positionV relativeFrom="paragraph">
              <wp:posOffset>62230</wp:posOffset>
            </wp:positionV>
            <wp:extent cx="2522855" cy="685165"/>
            <wp:effectExtent l="0" t="0" r="0" b="635"/>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2855" cy="68516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Pr>
          <w:noProof/>
        </w:rPr>
        <w:drawing>
          <wp:inline distT="0" distB="0" distL="0" distR="0" wp14:anchorId="0B72508B" wp14:editId="6B0F6EFC">
            <wp:extent cx="1272540" cy="746760"/>
            <wp:effectExtent l="0" t="0" r="3810" b="0"/>
            <wp:docPr id="6" name="Image 6" descr="Aperçu de 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Aperçu de l’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2540" cy="746760"/>
                    </a:xfrm>
                    <a:prstGeom prst="rect">
                      <a:avLst/>
                    </a:prstGeom>
                    <a:noFill/>
                    <a:ln>
                      <a:noFill/>
                    </a:ln>
                  </pic:spPr>
                </pic:pic>
              </a:graphicData>
            </a:graphic>
          </wp:inline>
        </w:drawing>
      </w:r>
      <w:r>
        <w:t xml:space="preserve">            </w:t>
      </w:r>
      <w:r>
        <w:rPr>
          <w:noProof/>
        </w:rPr>
        <w:drawing>
          <wp:inline distT="0" distB="0" distL="0" distR="0" wp14:anchorId="3B88A5C2" wp14:editId="0BEF3014">
            <wp:extent cx="800100" cy="76962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769620"/>
                    </a:xfrm>
                    <a:prstGeom prst="rect">
                      <a:avLst/>
                    </a:prstGeom>
                    <a:noFill/>
                    <a:ln>
                      <a:noFill/>
                    </a:ln>
                  </pic:spPr>
                </pic:pic>
              </a:graphicData>
            </a:graphic>
          </wp:inline>
        </w:drawing>
      </w:r>
    </w:p>
    <w:p w14:paraId="2F0FA417" w14:textId="77777777" w:rsidR="002A0C8E" w:rsidRDefault="002A0C8E">
      <w:pPr>
        <w:pStyle w:val="Standard"/>
        <w:jc w:val="right"/>
        <w:rPr>
          <w:rFonts w:ascii="Century Gothic" w:hAnsi="Century Gothic"/>
          <w:b/>
          <w:bCs/>
          <w:u w:val="single"/>
        </w:rPr>
      </w:pPr>
    </w:p>
    <w:p w14:paraId="0616D569" w14:textId="77777777" w:rsidR="002A0C8E" w:rsidRDefault="002A0C8E">
      <w:pPr>
        <w:pStyle w:val="Standard"/>
        <w:jc w:val="center"/>
        <w:rPr>
          <w:rFonts w:ascii="Century Gothic" w:hAnsi="Century Gothic"/>
          <w:b/>
          <w:bCs/>
          <w:u w:val="single"/>
        </w:rPr>
      </w:pPr>
    </w:p>
    <w:p w14:paraId="3505C276" w14:textId="41401A70" w:rsidR="002A0C8E" w:rsidRDefault="00C11D4C">
      <w:pPr>
        <w:pStyle w:val="Standard"/>
        <w:jc w:val="center"/>
        <w:rPr>
          <w:rFonts w:ascii="Century Gothic" w:hAnsi="Century Gothic"/>
          <w:b/>
          <w:bCs/>
          <w:u w:val="single"/>
        </w:rPr>
      </w:pPr>
      <w:r>
        <w:rPr>
          <w:rFonts w:ascii="Century Gothic" w:hAnsi="Century Gothic"/>
          <w:b/>
          <w:bCs/>
          <w:u w:val="single"/>
        </w:rPr>
        <w:t>Année scolaire 202</w:t>
      </w:r>
      <w:r w:rsidR="004B225D">
        <w:rPr>
          <w:rFonts w:ascii="Century Gothic" w:hAnsi="Century Gothic"/>
          <w:b/>
          <w:bCs/>
          <w:u w:val="single"/>
        </w:rPr>
        <w:t>5</w:t>
      </w:r>
      <w:r>
        <w:rPr>
          <w:rFonts w:ascii="Century Gothic" w:hAnsi="Century Gothic"/>
          <w:b/>
          <w:bCs/>
          <w:u w:val="single"/>
        </w:rPr>
        <w:t>-202</w:t>
      </w:r>
      <w:r w:rsidR="004B225D">
        <w:rPr>
          <w:rFonts w:ascii="Century Gothic" w:hAnsi="Century Gothic"/>
          <w:b/>
          <w:bCs/>
          <w:u w:val="single"/>
        </w:rPr>
        <w:t>6</w:t>
      </w:r>
    </w:p>
    <w:p w14:paraId="3901EDE0" w14:textId="77777777" w:rsidR="002A0C8E" w:rsidRDefault="002A0C8E">
      <w:pPr>
        <w:pStyle w:val="Standard"/>
        <w:jc w:val="center"/>
        <w:rPr>
          <w:rFonts w:ascii="Century Gothic" w:hAnsi="Century Gothic"/>
          <w:b/>
          <w:bCs/>
          <w:u w:val="single"/>
        </w:rPr>
      </w:pPr>
    </w:p>
    <w:p w14:paraId="1A0F8F62" w14:textId="77777777" w:rsidR="002A0C8E" w:rsidRDefault="00C11D4C">
      <w:pPr>
        <w:pStyle w:val="Standard"/>
        <w:jc w:val="center"/>
        <w:rPr>
          <w:rFonts w:ascii="Century Gothic" w:hAnsi="Century Gothic"/>
          <w:b/>
          <w:bCs/>
          <w:u w:val="single"/>
        </w:rPr>
      </w:pPr>
      <w:r>
        <w:rPr>
          <w:rFonts w:ascii="Century Gothic" w:hAnsi="Century Gothic"/>
          <w:b/>
          <w:bCs/>
          <w:u w:val="single"/>
        </w:rPr>
        <w:t>Éducation aux médias et à l’information (EMI) :</w:t>
      </w:r>
    </w:p>
    <w:p w14:paraId="61FC5062" w14:textId="77777777" w:rsidR="002A0C8E" w:rsidRDefault="002A0C8E">
      <w:pPr>
        <w:pStyle w:val="Standard"/>
        <w:jc w:val="both"/>
        <w:rPr>
          <w:rFonts w:ascii="Century Gothic" w:hAnsi="Century Gothic"/>
          <w:b/>
          <w:bCs/>
          <w:u w:val="single"/>
        </w:rPr>
      </w:pPr>
    </w:p>
    <w:p w14:paraId="27A498C5" w14:textId="77777777" w:rsidR="002A0C8E" w:rsidRDefault="00C11D4C">
      <w:pPr>
        <w:pStyle w:val="Standard"/>
        <w:jc w:val="both"/>
        <w:rPr>
          <w:rFonts w:ascii="Century Gothic" w:hAnsi="Century Gothic"/>
        </w:rPr>
      </w:pPr>
      <w:r>
        <w:rPr>
          <w:rFonts w:ascii="Century Gothic" w:hAnsi="Century Gothic"/>
        </w:rPr>
        <w:t>Au croisement des parcours EAC et citoyenneté, l’éducation aux arts et à la culture et l’éducation aux médias et à l’information font partie des priorités communes à l’Éducation et à la Culture. Enseignements transversaux, la dimension artistique et la dimension médiatique se conjuguent dans des projets dont un nombre croissant prend la forme d’enseignements pratiques interdisciplinaires.</w:t>
      </w:r>
    </w:p>
    <w:p w14:paraId="708576E2" w14:textId="77777777" w:rsidR="002A0C8E" w:rsidRDefault="00C11D4C">
      <w:pPr>
        <w:pStyle w:val="Standard"/>
        <w:jc w:val="both"/>
        <w:rPr>
          <w:rFonts w:ascii="Century Gothic" w:hAnsi="Century Gothic"/>
        </w:rPr>
      </w:pPr>
      <w:r>
        <w:rPr>
          <w:rFonts w:ascii="Century Gothic" w:hAnsi="Century Gothic"/>
        </w:rPr>
        <w:t>Ainsi, les passerelles sont nombreuses entre l’EMI et l’EAC, à commencer par les ressources pédagogiques qui favorisent les rencontres avec les professionnels, l’acquisition de compétences spécifiques et la production de réalisations qui conjuguent information et création.</w:t>
      </w:r>
    </w:p>
    <w:p w14:paraId="4B2EBA95" w14:textId="77777777" w:rsidR="002A0C8E" w:rsidRDefault="002A0C8E">
      <w:pPr>
        <w:pStyle w:val="Standard"/>
        <w:jc w:val="both"/>
        <w:rPr>
          <w:rFonts w:ascii="Century Gothic" w:hAnsi="Century Gothic"/>
        </w:rPr>
      </w:pPr>
    </w:p>
    <w:p w14:paraId="5AB8B0FB" w14:textId="77777777" w:rsidR="002A0C8E" w:rsidRDefault="00C11D4C">
      <w:pPr>
        <w:pStyle w:val="Standard"/>
        <w:jc w:val="both"/>
      </w:pPr>
      <w:r>
        <w:rPr>
          <w:rFonts w:ascii="Century Gothic" w:hAnsi="Century Gothic"/>
          <w:color w:val="111111"/>
        </w:rPr>
        <w:t>L’EMI doit permettre à chacun de vivre une pratique citoyenne des médias :</w:t>
      </w:r>
    </w:p>
    <w:p w14:paraId="7A6A78A1" w14:textId="77777777" w:rsidR="002A0C8E" w:rsidRDefault="002A0C8E">
      <w:pPr>
        <w:pStyle w:val="Standard"/>
        <w:rPr>
          <w:rFonts w:ascii="Century Gothic" w:hAnsi="Century Gothic"/>
        </w:rPr>
      </w:pPr>
    </w:p>
    <w:p w14:paraId="61A2A475" w14:textId="77777777" w:rsidR="002A0C8E" w:rsidRDefault="00C11D4C">
      <w:pPr>
        <w:pStyle w:val="Standard"/>
        <w:numPr>
          <w:ilvl w:val="0"/>
          <w:numId w:val="2"/>
        </w:numPr>
        <w:jc w:val="both"/>
      </w:pPr>
      <w:r>
        <w:rPr>
          <w:rFonts w:ascii="Century Gothic" w:hAnsi="Century Gothic"/>
          <w:color w:val="111111"/>
        </w:rPr>
        <w:t>Pouvoir s’informer, s’exprimer librement, élargir son horizon, appréhender le monde dans toute sa complexité, développer son esprit critique ;</w:t>
      </w:r>
    </w:p>
    <w:p w14:paraId="378C12F7" w14:textId="77777777" w:rsidR="002A0C8E" w:rsidRDefault="00C11D4C">
      <w:pPr>
        <w:pStyle w:val="Standard"/>
        <w:numPr>
          <w:ilvl w:val="0"/>
          <w:numId w:val="2"/>
        </w:numPr>
        <w:jc w:val="both"/>
      </w:pPr>
      <w:r>
        <w:rPr>
          <w:rFonts w:ascii="Century Gothic" w:hAnsi="Century Gothic"/>
          <w:color w:val="111111"/>
        </w:rPr>
        <w:t>Acquérir des compétences pour réaliser une lecture critique et distanciée des contenus proposés par l’ensemble des médias, pour rechercher, sélectionner et interpréter des informations, évaluer et analyser les sources des informations proposées ;</w:t>
      </w:r>
    </w:p>
    <w:p w14:paraId="13C06E3E" w14:textId="77777777" w:rsidR="002A0C8E" w:rsidRDefault="00C11D4C">
      <w:pPr>
        <w:pStyle w:val="Standard"/>
        <w:numPr>
          <w:ilvl w:val="0"/>
          <w:numId w:val="2"/>
        </w:numPr>
        <w:jc w:val="both"/>
      </w:pPr>
      <w:r>
        <w:rPr>
          <w:rFonts w:ascii="Century Gothic" w:hAnsi="Century Gothic"/>
          <w:color w:val="111111"/>
        </w:rPr>
        <w:t>S’affranchir des chemins tracés par les réseaux sociaux, leurs algorithmes et leurs flux ininterrompus ;</w:t>
      </w:r>
    </w:p>
    <w:p w14:paraId="5851F233" w14:textId="77777777" w:rsidR="002A0C8E" w:rsidRDefault="00C11D4C">
      <w:pPr>
        <w:pStyle w:val="Standard"/>
        <w:numPr>
          <w:ilvl w:val="0"/>
          <w:numId w:val="2"/>
        </w:numPr>
        <w:jc w:val="both"/>
      </w:pPr>
      <w:r>
        <w:rPr>
          <w:rFonts w:ascii="Century Gothic" w:hAnsi="Century Gothic"/>
          <w:color w:val="111111"/>
        </w:rPr>
        <w:t>Comprendre la valeur des contenus immatériels afin de lutter contre le piratage et valoriser la défense des droits d’auteurs ;</w:t>
      </w:r>
    </w:p>
    <w:p w14:paraId="5AC578C6" w14:textId="77777777" w:rsidR="002A0C8E" w:rsidRDefault="00C11D4C">
      <w:pPr>
        <w:pStyle w:val="Standard"/>
        <w:numPr>
          <w:ilvl w:val="0"/>
          <w:numId w:val="2"/>
        </w:numPr>
        <w:jc w:val="both"/>
      </w:pPr>
      <w:r>
        <w:rPr>
          <w:rFonts w:ascii="Century Gothic" w:hAnsi="Century Gothic"/>
          <w:color w:val="111111"/>
        </w:rPr>
        <w:t>Appréhender les médias, les réseaux et les phénomènes informationnels dans toutes leurs dimensions : économique, sociétale, technique, éthique.</w:t>
      </w:r>
    </w:p>
    <w:p w14:paraId="64B7337F" w14:textId="77777777" w:rsidR="002A0C8E" w:rsidRDefault="002A0C8E">
      <w:pPr>
        <w:pStyle w:val="Standard"/>
        <w:jc w:val="both"/>
        <w:rPr>
          <w:rFonts w:ascii="Century Gothic" w:hAnsi="Century Gothic"/>
        </w:rPr>
      </w:pPr>
    </w:p>
    <w:p w14:paraId="633F7ABB" w14:textId="77777777" w:rsidR="002A0C8E" w:rsidRDefault="00C11D4C">
      <w:pPr>
        <w:pStyle w:val="Standard"/>
        <w:jc w:val="both"/>
      </w:pPr>
      <w:r>
        <w:rPr>
          <w:rFonts w:ascii="Century Gothic" w:hAnsi="Century Gothic"/>
          <w:color w:val="111111"/>
        </w:rPr>
        <w:t>L’EMI se construit par la prise en compte des pratiques et des connaissances des collégiens qu’il faut savoir mobiliser, parfois consolider, parfois déconstruire pour construire d’autres pratiques.</w:t>
      </w:r>
    </w:p>
    <w:p w14:paraId="155451D8" w14:textId="77777777" w:rsidR="002A0C8E" w:rsidRDefault="00C11D4C">
      <w:pPr>
        <w:pStyle w:val="Standard"/>
        <w:jc w:val="both"/>
        <w:rPr>
          <w:rFonts w:ascii="Century Gothic" w:hAnsi="Century Gothic"/>
          <w:color w:val="111111"/>
        </w:rPr>
      </w:pPr>
      <w:r>
        <w:rPr>
          <w:rFonts w:ascii="Century Gothic" w:hAnsi="Century Gothic"/>
          <w:color w:val="111111"/>
        </w:rPr>
        <w:t>Dans cette optique, l’EMI et l’EAC peuvent être les deux facettes d'un même projet pédagogique, que celui-ci consiste en la production d’un média scolaire conçu comme support de découverte et de valorisation de projets culturels, ou bien qu’il porte sur l’analyse de productions à la fois médiatiques et artistiques, comme le dessin de presse.</w:t>
      </w:r>
    </w:p>
    <w:p w14:paraId="5ED49340" w14:textId="77777777" w:rsidR="002A0C8E" w:rsidRDefault="002A0C8E">
      <w:pPr>
        <w:pStyle w:val="Standard"/>
        <w:jc w:val="both"/>
        <w:rPr>
          <w:rFonts w:ascii="Century Gothic" w:hAnsi="Century Gothic"/>
          <w:color w:val="111111"/>
        </w:rPr>
      </w:pPr>
    </w:p>
    <w:p w14:paraId="1C21D88B" w14:textId="6F3935BF" w:rsidR="002A0C8E" w:rsidRDefault="00C11D4C">
      <w:pPr>
        <w:pStyle w:val="Standard"/>
        <w:spacing w:before="40" w:after="40"/>
        <w:jc w:val="both"/>
        <w:rPr>
          <w:rFonts w:ascii="Century Gothic" w:eastAsia="MS Mincho" w:hAnsi="Century Gothic" w:cs="Century Gothic"/>
          <w:color w:val="000000"/>
          <w:lang w:eastAsia="ja-JP" w:bidi="ar-SA"/>
        </w:rPr>
      </w:pPr>
      <w:r>
        <w:rPr>
          <w:rFonts w:ascii="Century Gothic" w:eastAsia="MS Mincho" w:hAnsi="Century Gothic" w:cs="Century Gothic"/>
          <w:color w:val="000000"/>
          <w:lang w:eastAsia="ja-JP" w:bidi="ar-SA"/>
        </w:rPr>
        <w:t>En 202</w:t>
      </w:r>
      <w:r w:rsidR="004B225D">
        <w:rPr>
          <w:rFonts w:ascii="Century Gothic" w:eastAsia="MS Mincho" w:hAnsi="Century Gothic" w:cs="Century Gothic"/>
          <w:color w:val="000000"/>
          <w:lang w:eastAsia="ja-JP" w:bidi="ar-SA"/>
        </w:rPr>
        <w:t>5</w:t>
      </w:r>
      <w:r>
        <w:rPr>
          <w:rFonts w:ascii="Century Gothic" w:eastAsia="MS Mincho" w:hAnsi="Century Gothic" w:cs="Century Gothic"/>
          <w:color w:val="000000"/>
          <w:lang w:eastAsia="ja-JP" w:bidi="ar-SA"/>
        </w:rPr>
        <w:t>-202</w:t>
      </w:r>
      <w:r w:rsidR="004B225D">
        <w:rPr>
          <w:rFonts w:ascii="Century Gothic" w:eastAsia="MS Mincho" w:hAnsi="Century Gothic" w:cs="Century Gothic"/>
          <w:color w:val="000000"/>
          <w:lang w:eastAsia="ja-JP" w:bidi="ar-SA"/>
        </w:rPr>
        <w:t>6</w:t>
      </w:r>
      <w:r>
        <w:rPr>
          <w:rFonts w:ascii="Century Gothic" w:eastAsia="MS Mincho" w:hAnsi="Century Gothic" w:cs="Century Gothic"/>
          <w:color w:val="000000"/>
          <w:lang w:eastAsia="ja-JP" w:bidi="ar-SA"/>
        </w:rPr>
        <w:t>, les projets relevant de l’EMI p</w:t>
      </w:r>
      <w:r w:rsidR="004B225D">
        <w:rPr>
          <w:rFonts w:ascii="Century Gothic" w:eastAsia="MS Mincho" w:hAnsi="Century Gothic" w:cs="Century Gothic"/>
          <w:color w:val="000000"/>
          <w:lang w:eastAsia="ja-JP" w:bidi="ar-SA"/>
        </w:rPr>
        <w:t>euven</w:t>
      </w:r>
      <w:r>
        <w:rPr>
          <w:rFonts w:ascii="Century Gothic" w:eastAsia="MS Mincho" w:hAnsi="Century Gothic" w:cs="Century Gothic"/>
          <w:color w:val="000000"/>
          <w:lang w:eastAsia="ja-JP" w:bidi="ar-SA"/>
        </w:rPr>
        <w:t>t être financés dans le cadre du dispositif PAC Collégiens 80. Les règles du PAC sont appliquées pour les trois niveaux.</w:t>
      </w:r>
    </w:p>
    <w:p w14:paraId="597CFB40" w14:textId="77777777" w:rsidR="002A0C8E" w:rsidRDefault="00C11D4C">
      <w:pPr>
        <w:pStyle w:val="Standard"/>
        <w:numPr>
          <w:ilvl w:val="0"/>
          <w:numId w:val="3"/>
        </w:numPr>
        <w:spacing w:before="40" w:after="40"/>
        <w:jc w:val="both"/>
      </w:pPr>
      <w:r>
        <w:rPr>
          <w:rFonts w:ascii="Century Gothic" w:eastAsia="MS Mincho" w:hAnsi="Century Gothic" w:cs="Century Gothic"/>
          <w:b/>
          <w:bCs/>
          <w:color w:val="000000"/>
          <w:lang w:eastAsia="ja-JP" w:bidi="ar-SA"/>
        </w:rPr>
        <w:t>Niveau 1 :</w:t>
      </w:r>
      <w:r>
        <w:rPr>
          <w:rFonts w:ascii="Century Gothic" w:eastAsia="MS Mincho" w:hAnsi="Century Gothic" w:cs="Century Gothic"/>
          <w:color w:val="000000"/>
          <w:lang w:eastAsia="ja-JP" w:bidi="ar-SA"/>
        </w:rPr>
        <w:t xml:space="preserve"> possibilité d’une sortie culturelle dans une publication, presse écrite, école de journalisme, agence de presse, radio, télévision… à sélectionner dans une liste qui vous sera fournie par le Conseil départemental. Le </w:t>
      </w:r>
      <w:r>
        <w:rPr>
          <w:rFonts w:ascii="Century Gothic" w:eastAsia="MS Mincho" w:hAnsi="Century Gothic" w:cs="Century Gothic"/>
          <w:color w:val="000000"/>
          <w:lang w:eastAsia="ja-JP" w:bidi="ar-SA"/>
        </w:rPr>
        <w:lastRenderedPageBreak/>
        <w:t>financement des clubs médias et des ateliers ne sont pas pris en charge dans le cadre du dispositif PAC Collégiens 80.</w:t>
      </w:r>
    </w:p>
    <w:p w14:paraId="2ABFAD47" w14:textId="2F3F7BD9" w:rsidR="002A0C8E" w:rsidRDefault="00C11D4C" w:rsidP="004B225D">
      <w:pPr>
        <w:pStyle w:val="Standard"/>
        <w:numPr>
          <w:ilvl w:val="0"/>
          <w:numId w:val="3"/>
        </w:numPr>
        <w:spacing w:before="40" w:after="40"/>
        <w:jc w:val="both"/>
      </w:pPr>
      <w:r>
        <w:rPr>
          <w:rFonts w:ascii="Century Gothic" w:eastAsia="MS Mincho" w:hAnsi="Century Gothic" w:cs="Century Gothic"/>
          <w:b/>
          <w:bCs/>
          <w:color w:val="000000"/>
          <w:lang w:eastAsia="ja-JP" w:bidi="ar-SA"/>
        </w:rPr>
        <w:t>Niveau 2 :</w:t>
      </w:r>
      <w:r>
        <w:rPr>
          <w:rFonts w:ascii="Century Gothic" w:eastAsia="MS Mincho" w:hAnsi="Century Gothic" w:cs="Century Gothic"/>
          <w:color w:val="000000"/>
          <w:lang w:eastAsia="ja-JP" w:bidi="ar-SA"/>
        </w:rPr>
        <w:t xml:space="preserve"> temps de pratique de 1</w:t>
      </w:r>
      <w:r w:rsidR="004B225D">
        <w:rPr>
          <w:rFonts w:ascii="Century Gothic" w:eastAsia="MS Mincho" w:hAnsi="Century Gothic" w:cs="Century Gothic"/>
          <w:color w:val="000000"/>
          <w:lang w:eastAsia="ja-JP" w:bidi="ar-SA"/>
        </w:rPr>
        <w:t>2</w:t>
      </w:r>
      <w:r w:rsidRPr="004B225D">
        <w:rPr>
          <w:rFonts w:ascii="Century Gothic" w:eastAsia="MS Mincho" w:hAnsi="Century Gothic" w:cs="Century Gothic"/>
          <w:color w:val="000000"/>
          <w:lang w:eastAsia="ja-JP" w:bidi="ar-SA"/>
        </w:rPr>
        <w:t xml:space="preserve"> heures minimum avec un professionnel de l’éducation aux médias (journaliste, rédacteur, reporter, photographe…) pour une seule classe. Le projet doit également comporter une sortie culturelle et une restitution.</w:t>
      </w:r>
    </w:p>
    <w:p w14:paraId="16674D45" w14:textId="77777777" w:rsidR="002A0C8E" w:rsidRDefault="00C11D4C">
      <w:pPr>
        <w:pStyle w:val="Standard"/>
        <w:numPr>
          <w:ilvl w:val="0"/>
          <w:numId w:val="3"/>
        </w:numPr>
        <w:spacing w:before="40" w:after="40"/>
        <w:jc w:val="both"/>
      </w:pPr>
      <w:r>
        <w:rPr>
          <w:rFonts w:ascii="Century Gothic" w:eastAsia="MS Mincho" w:hAnsi="Century Gothic" w:cs="Century Gothic"/>
          <w:b/>
          <w:bCs/>
          <w:color w:val="000000"/>
          <w:lang w:eastAsia="ja-JP" w:bidi="ar-SA"/>
        </w:rPr>
        <w:t xml:space="preserve">Niveau 3 : </w:t>
      </w:r>
      <w:r>
        <w:rPr>
          <w:rFonts w:ascii="Century Gothic" w:eastAsia="MS Mincho" w:hAnsi="Century Gothic" w:cs="Century Gothic"/>
          <w:color w:val="000000"/>
          <w:lang w:eastAsia="ja-JP" w:bidi="ar-SA"/>
        </w:rPr>
        <w:t>résidence d’un professionnel de l’éducation aux médias au sein de l’établissement sur un temps long, prévoyant une sensibilisation pour l’ensemble des élèves et un temps de pratique minimum de 20 heures pour une à deux classes du collège. Le projet doit également comporter une sortie culturelle au minimum ainsi qu’une restitution et une mise en valeur du travail du professionnel dans l’établissement.</w:t>
      </w:r>
    </w:p>
    <w:p w14:paraId="140C06B1" w14:textId="77777777" w:rsidR="002A0C8E" w:rsidRDefault="002A0C8E">
      <w:pPr>
        <w:pStyle w:val="Standard"/>
        <w:jc w:val="both"/>
        <w:rPr>
          <w:rFonts w:ascii="Century Gothic" w:hAnsi="Century Gothic"/>
          <w:color w:val="111111"/>
        </w:rPr>
      </w:pPr>
    </w:p>
    <w:p w14:paraId="2C6977BD" w14:textId="2D9B1E4B" w:rsidR="002A0C8E" w:rsidRDefault="004B225D">
      <w:pPr>
        <w:pStyle w:val="Standard"/>
        <w:jc w:val="both"/>
      </w:pPr>
      <w:r>
        <w:rPr>
          <w:rFonts w:ascii="Century Gothic" w:hAnsi="Century Gothic"/>
          <w:color w:val="111111"/>
        </w:rPr>
        <w:t>Vous pouvez contacter</w:t>
      </w:r>
      <w:r w:rsidR="00C11D4C">
        <w:rPr>
          <w:rFonts w:ascii="Century Gothic" w:hAnsi="Century Gothic"/>
          <w:color w:val="111111"/>
        </w:rPr>
        <w:t xml:space="preserve"> différentes associations, structures mais aussi journalistes indépendants, groupes de press</w:t>
      </w:r>
      <w:r>
        <w:rPr>
          <w:rFonts w:ascii="Century Gothic" w:hAnsi="Century Gothic"/>
          <w:color w:val="111111"/>
        </w:rPr>
        <w:t xml:space="preserve">e </w:t>
      </w:r>
      <w:r w:rsidR="00C11D4C">
        <w:rPr>
          <w:rFonts w:ascii="Century Gothic" w:hAnsi="Century Gothic"/>
          <w:color w:val="111111"/>
        </w:rPr>
        <w:t>afin de les solliciter et de co-construire avec eux des projets d’Éducation aux médias et à l’information avec également une dimension d’Éducation artistique et culturelle.</w:t>
      </w:r>
    </w:p>
    <w:p w14:paraId="6523536B" w14:textId="77777777" w:rsidR="002A0C8E" w:rsidRDefault="002A0C8E">
      <w:pPr>
        <w:pStyle w:val="Standard"/>
        <w:jc w:val="both"/>
        <w:rPr>
          <w:rFonts w:ascii="Century Gothic" w:hAnsi="Century Gothic"/>
          <w:color w:val="111111"/>
        </w:rPr>
      </w:pPr>
    </w:p>
    <w:p w14:paraId="17440DD5" w14:textId="18B3461C" w:rsidR="002A0C8E" w:rsidRDefault="00C11D4C">
      <w:pPr>
        <w:pStyle w:val="Standard"/>
        <w:jc w:val="both"/>
        <w:rPr>
          <w:rFonts w:ascii="Century Gothic" w:hAnsi="Century Gothic"/>
          <w:color w:val="111111"/>
        </w:rPr>
      </w:pPr>
      <w:r>
        <w:rPr>
          <w:rFonts w:ascii="Century Gothic" w:hAnsi="Century Gothic"/>
          <w:color w:val="111111"/>
        </w:rPr>
        <w:t>Les membres du réseau EMI’cycle</w:t>
      </w:r>
      <w:r w:rsidR="004B225D">
        <w:rPr>
          <w:rFonts w:ascii="Century Gothic" w:hAnsi="Century Gothic"/>
          <w:color w:val="111111"/>
        </w:rPr>
        <w:t xml:space="preserve"> </w:t>
      </w:r>
      <w:r>
        <w:rPr>
          <w:rFonts w:ascii="Century Gothic" w:hAnsi="Century Gothic"/>
          <w:color w:val="111111"/>
        </w:rPr>
        <w:t>: médias (radio, webmagazine, presse écrite…) : structures d’éducation populaire (FRANCAS, CEMEA, Ligue de l’enseignement, …) : journalistes indépendants (</w:t>
      </w:r>
      <w:r w:rsidR="004B225D">
        <w:rPr>
          <w:rFonts w:ascii="Century Gothic" w:hAnsi="Century Gothic"/>
          <w:color w:val="111111"/>
        </w:rPr>
        <w:t>dont des</w:t>
      </w:r>
      <w:r>
        <w:rPr>
          <w:rFonts w:ascii="Century Gothic" w:hAnsi="Century Gothic"/>
          <w:color w:val="111111"/>
        </w:rPr>
        <w:t xml:space="preserve"> collectifs) : structures du monde éducatif (CLEMI, Canopé, Universités, …) : structures Cinéma Audiovisuel : centres culturels / social et culturel, collectivités seront des interlocuteurs privilégiés pour participer à vos projets et pour vous aider à les concevoir et à les mettre en œuvre.</w:t>
      </w:r>
    </w:p>
    <w:p w14:paraId="28D375AE" w14:textId="77777777" w:rsidR="002A0C8E" w:rsidRDefault="002A0C8E">
      <w:pPr>
        <w:pStyle w:val="Standard"/>
        <w:jc w:val="both"/>
        <w:rPr>
          <w:rFonts w:ascii="Century Gothic" w:hAnsi="Century Gothic"/>
          <w:color w:val="111111"/>
        </w:rPr>
      </w:pPr>
    </w:p>
    <w:p w14:paraId="53564AC2" w14:textId="232BC6FD" w:rsidR="002A0C8E" w:rsidRDefault="00C11D4C">
      <w:pPr>
        <w:pStyle w:val="Standard"/>
        <w:jc w:val="both"/>
        <w:rPr>
          <w:rFonts w:ascii="Century Gothic" w:hAnsi="Century Gothic"/>
          <w:color w:val="111111"/>
        </w:rPr>
      </w:pPr>
      <w:r>
        <w:rPr>
          <w:rFonts w:ascii="Century Gothic" w:hAnsi="Century Gothic"/>
          <w:color w:val="111111"/>
        </w:rPr>
        <w:t>Parmi les thèmes possiblement abordables et exploitables avec les structures</w:t>
      </w:r>
      <w:r w:rsidR="004B225D">
        <w:rPr>
          <w:rFonts w:ascii="Century Gothic" w:hAnsi="Century Gothic"/>
          <w:color w:val="111111"/>
        </w:rPr>
        <w:t xml:space="preserve">, </w:t>
      </w:r>
      <w:r>
        <w:rPr>
          <w:rFonts w:ascii="Century Gothic" w:hAnsi="Century Gothic"/>
          <w:color w:val="111111"/>
        </w:rPr>
        <w:t>on retrouve de façon non exhaustive bien entendu et juste à titre d’exemple, la mise en place de projets autour de la création d’une webradio au sein du collège, la découverte de la photo ou du dessin de presse sous l’angle de l’analyse critique ou de l’histoire des arts par exemple, le lien entre la mémoire et la voix en travaillant avec les Archives de la Somme…</w:t>
      </w:r>
    </w:p>
    <w:p w14:paraId="307ED74F" w14:textId="77777777" w:rsidR="002A0C8E" w:rsidRDefault="002A0C8E">
      <w:pPr>
        <w:pStyle w:val="Standard"/>
      </w:pPr>
    </w:p>
    <w:p w14:paraId="0D16BB95" w14:textId="77777777" w:rsidR="002A0C8E" w:rsidRDefault="002A0C8E">
      <w:pPr>
        <w:pStyle w:val="Standard"/>
      </w:pPr>
    </w:p>
    <w:p w14:paraId="3C26FA5A" w14:textId="77777777" w:rsidR="002A0C8E" w:rsidRDefault="002A0C8E">
      <w:pPr>
        <w:pStyle w:val="Standard"/>
      </w:pPr>
    </w:p>
    <w:p w14:paraId="3E5F2384" w14:textId="77777777" w:rsidR="002A0C8E" w:rsidRDefault="002A0C8E">
      <w:pPr>
        <w:pStyle w:val="Standard"/>
      </w:pPr>
    </w:p>
    <w:p w14:paraId="62E24A1B" w14:textId="77777777" w:rsidR="002A0C8E" w:rsidRDefault="002A0C8E">
      <w:pPr>
        <w:pStyle w:val="Standard"/>
      </w:pPr>
    </w:p>
    <w:p w14:paraId="1E41CEC5" w14:textId="77777777" w:rsidR="002A0C8E" w:rsidRDefault="002A0C8E">
      <w:pPr>
        <w:pStyle w:val="Standard"/>
      </w:pPr>
    </w:p>
    <w:p w14:paraId="5DA610B0" w14:textId="77777777" w:rsidR="002A0C8E" w:rsidRDefault="002A0C8E">
      <w:pPr>
        <w:pStyle w:val="Standard"/>
      </w:pPr>
    </w:p>
    <w:p w14:paraId="46DB27D3" w14:textId="77777777" w:rsidR="002A0C8E" w:rsidRDefault="002A0C8E">
      <w:pPr>
        <w:pStyle w:val="Standard"/>
      </w:pPr>
    </w:p>
    <w:p w14:paraId="6093951A" w14:textId="77777777" w:rsidR="002A0C8E" w:rsidRDefault="002A0C8E">
      <w:pPr>
        <w:pStyle w:val="Standard"/>
      </w:pPr>
    </w:p>
    <w:p w14:paraId="18CC0347" w14:textId="77777777" w:rsidR="002A0C8E" w:rsidRDefault="002A0C8E">
      <w:pPr>
        <w:pStyle w:val="Standard"/>
        <w:jc w:val="both"/>
        <w:rPr>
          <w:rFonts w:ascii="Century Gothic" w:hAnsi="Century Gothic"/>
          <w:color w:val="111111"/>
        </w:rPr>
      </w:pPr>
    </w:p>
    <w:sectPr w:rsidR="002A0C8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248D4" w14:textId="77777777" w:rsidR="00691A6C" w:rsidRDefault="00C11D4C">
      <w:r>
        <w:separator/>
      </w:r>
    </w:p>
  </w:endnote>
  <w:endnote w:type="continuationSeparator" w:id="0">
    <w:p w14:paraId="28E71709" w14:textId="77777777" w:rsidR="00691A6C" w:rsidRDefault="00C1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Calibri"/>
    <w:panose1 w:val="05010000000000000000"/>
    <w:charset w:val="00"/>
    <w:family w:val="auto"/>
    <w:pitch w:val="variable"/>
    <w:sig w:usb0="800000AF" w:usb1="1001ECEA"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5EE84" w14:textId="77777777" w:rsidR="00691A6C" w:rsidRDefault="00C11D4C">
      <w:r>
        <w:rPr>
          <w:color w:val="000000"/>
        </w:rPr>
        <w:separator/>
      </w:r>
    </w:p>
  </w:footnote>
  <w:footnote w:type="continuationSeparator" w:id="0">
    <w:p w14:paraId="630016C0" w14:textId="77777777" w:rsidR="00691A6C" w:rsidRDefault="00C11D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05CA4"/>
    <w:multiLevelType w:val="multilevel"/>
    <w:tmpl w:val="8A8A7BE8"/>
    <w:styleLink w:val="WWNum1"/>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53570970"/>
    <w:multiLevelType w:val="multilevel"/>
    <w:tmpl w:val="88C09F7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703E5342"/>
    <w:multiLevelType w:val="multilevel"/>
    <w:tmpl w:val="B562F76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2145350901">
    <w:abstractNumId w:val="0"/>
  </w:num>
  <w:num w:numId="2" w16cid:durableId="479659113">
    <w:abstractNumId w:val="1"/>
  </w:num>
  <w:num w:numId="3" w16cid:durableId="1624119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C8E"/>
    <w:rsid w:val="00191513"/>
    <w:rsid w:val="002A0C8E"/>
    <w:rsid w:val="004B225D"/>
    <w:rsid w:val="00691A6C"/>
    <w:rsid w:val="00993CC2"/>
    <w:rsid w:val="00C11D4C"/>
    <w:rsid w:val="00F662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87DB9"/>
  <w15:docId w15:val="{FF9CF741-8169-480D-B839-08D1E5F13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3"/>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Aucu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278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701</Words>
  <Characters>3860</Characters>
  <Application>Microsoft Office Word</Application>
  <DocSecurity>0</DocSecurity>
  <Lines>32</Lines>
  <Paragraphs>9</Paragraphs>
  <ScaleCrop>false</ScaleCrop>
  <Company>Somme.fr</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JOSSEAUX Sophie</dc:creator>
  <cp:lastModifiedBy>PEIGNARD Florent</cp:lastModifiedBy>
  <cp:revision>4</cp:revision>
  <dcterms:created xsi:type="dcterms:W3CDTF">2023-04-14T09:38:00Z</dcterms:created>
  <dcterms:modified xsi:type="dcterms:W3CDTF">2025-05-19T07:43:00Z</dcterms:modified>
</cp:coreProperties>
</file>