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4AE2C3" w14:textId="77777777" w:rsidR="00D75DE6" w:rsidRDefault="00D75DE6" w:rsidP="00D75DE6">
      <w:pPr>
        <w:pStyle w:val="Standard"/>
      </w:pPr>
      <w:r>
        <w:rPr>
          <w:rFonts w:ascii="Century Gothic" w:hAnsi="Century Gothic"/>
          <w:noProof/>
          <w:sz w:val="23"/>
          <w:szCs w:val="23"/>
        </w:rPr>
        <w:drawing>
          <wp:anchor distT="0" distB="0" distL="114300" distR="114300" simplePos="0" relativeHeight="251660288" behindDoc="0" locked="0" layoutInCell="1" allowOverlap="1" wp14:anchorId="38EA2BC8" wp14:editId="0A9E6270">
            <wp:simplePos x="0" y="0"/>
            <wp:positionH relativeFrom="column">
              <wp:posOffset>3601720</wp:posOffset>
            </wp:positionH>
            <wp:positionV relativeFrom="paragraph">
              <wp:posOffset>220345</wp:posOffset>
            </wp:positionV>
            <wp:extent cx="2080260" cy="563880"/>
            <wp:effectExtent l="0" t="0" r="0" b="7620"/>
            <wp:wrapThrough wrapText="bothSides">
              <wp:wrapPolygon edited="0">
                <wp:start x="0" y="0"/>
                <wp:lineTo x="0" y="21162"/>
                <wp:lineTo x="21363" y="21162"/>
                <wp:lineTo x="21363" y="0"/>
                <wp:lineTo x="0" y="0"/>
              </wp:wrapPolygon>
            </wp:wrapThrough>
            <wp:docPr id="610253824" name="images1" descr="Une image contenant Police, texte, typographie,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10253824" name="images1" descr="Une image contenant Police, texte, typographie, Graphique&#10;&#10;Le contenu généré par l’IA peut être incorrect."/>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2080260" cy="56388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793320CD" wp14:editId="397E4891">
            <wp:simplePos x="0" y="0"/>
            <wp:positionH relativeFrom="margin">
              <wp:align>left</wp:align>
            </wp:positionH>
            <wp:positionV relativeFrom="paragraph">
              <wp:posOffset>27940</wp:posOffset>
            </wp:positionV>
            <wp:extent cx="1438275" cy="847827"/>
            <wp:effectExtent l="0" t="0" r="0" b="9525"/>
            <wp:wrapThrough wrapText="bothSides">
              <wp:wrapPolygon edited="0">
                <wp:start x="0" y="0"/>
                <wp:lineTo x="0" y="21357"/>
                <wp:lineTo x="21171" y="21357"/>
                <wp:lineTo x="21171" y="0"/>
                <wp:lineTo x="0" y="0"/>
              </wp:wrapPolygon>
            </wp:wrapThrough>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847827"/>
                    </a:xfrm>
                    <a:prstGeom prst="rect">
                      <a:avLst/>
                    </a:prstGeom>
                    <a:noFill/>
                    <a:ln>
                      <a:noFill/>
                    </a:ln>
                  </pic:spPr>
                </pic:pic>
              </a:graphicData>
            </a:graphic>
          </wp:anchor>
        </w:drawing>
      </w:r>
      <w:r>
        <w:rPr>
          <w:sz w:val="22"/>
        </w:rPr>
        <w:t xml:space="preserve">  </w:t>
      </w:r>
      <w:r w:rsidRPr="0010741E">
        <w:rPr>
          <w:sz w:val="22"/>
        </w:rPr>
        <w:t xml:space="preserve">           </w:t>
      </w:r>
      <w:r>
        <w:rPr>
          <w:sz w:val="22"/>
        </w:rPr>
        <w:t xml:space="preserve">  </w:t>
      </w:r>
      <w:r w:rsidRPr="0010741E">
        <w:rPr>
          <w:sz w:val="22"/>
        </w:rPr>
        <w:t xml:space="preserve">     </w:t>
      </w:r>
      <w:r w:rsidRPr="0010741E">
        <w:rPr>
          <w:noProof/>
          <w:sz w:val="22"/>
        </w:rPr>
        <w:drawing>
          <wp:inline distT="0" distB="0" distL="0" distR="0" wp14:anchorId="3CB2B253" wp14:editId="2E6FF737">
            <wp:extent cx="906780" cy="895117"/>
            <wp:effectExtent l="0" t="0" r="7620" b="635"/>
            <wp:docPr id="344208763"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08763" name="Image 1" descr="Une image contenant texte, Police, Graphique, logo&#10;&#10;Le contenu généré par l’IA peut être incorrect."/>
                    <pic:cNvPicPr/>
                  </pic:nvPicPr>
                  <pic:blipFill>
                    <a:blip r:embed="rId9"/>
                    <a:stretch>
                      <a:fillRect/>
                    </a:stretch>
                  </pic:blipFill>
                  <pic:spPr>
                    <a:xfrm>
                      <a:off x="0" y="0"/>
                      <a:ext cx="918867" cy="907048"/>
                    </a:xfrm>
                    <a:prstGeom prst="rect">
                      <a:avLst/>
                    </a:prstGeom>
                  </pic:spPr>
                </pic:pic>
              </a:graphicData>
            </a:graphic>
          </wp:inline>
        </w:drawing>
      </w:r>
      <w:r w:rsidRPr="0010741E">
        <w:rPr>
          <w:sz w:val="22"/>
        </w:rPr>
        <w:t xml:space="preserve">    </w:t>
      </w:r>
      <w:r w:rsidRPr="0010741E">
        <w:t xml:space="preserve"> </w:t>
      </w:r>
      <w:r w:rsidRPr="0010741E">
        <w:rPr>
          <w:noProof/>
        </w:rPr>
        <w:t xml:space="preserve">     </w:t>
      </w:r>
      <w:r>
        <w:rPr>
          <w:noProof/>
        </w:rPr>
        <w:t xml:space="preserve">   </w:t>
      </w:r>
      <w:r w:rsidRPr="0010741E">
        <w:rPr>
          <w:noProof/>
        </w:rPr>
        <w:t xml:space="preserve">     </w:t>
      </w:r>
      <w:r>
        <w:rPr>
          <w:noProof/>
        </w:rPr>
        <w:t xml:space="preserve">       </w:t>
      </w:r>
      <w:r w:rsidRPr="0010741E">
        <w:rPr>
          <w:noProof/>
        </w:rPr>
        <w:t xml:space="preserve">  </w:t>
      </w:r>
    </w:p>
    <w:p w14:paraId="6FE3345B" w14:textId="77777777" w:rsidR="00936465" w:rsidRDefault="00936465">
      <w:pPr>
        <w:ind w:firstLine="709"/>
        <w:rPr>
          <w:rFonts w:ascii="Calibri" w:hAnsi="Calibri" w:cs="Calibri"/>
          <w:sz w:val="20"/>
        </w:rPr>
      </w:pPr>
    </w:p>
    <w:p w14:paraId="7A5C702E" w14:textId="77777777" w:rsidR="00332A46" w:rsidRDefault="00332A46">
      <w:pPr>
        <w:ind w:firstLine="709"/>
        <w:rPr>
          <w:rFonts w:ascii="Calibri" w:hAnsi="Calibri" w:cs="Calibri"/>
          <w:sz w:val="20"/>
        </w:rPr>
      </w:pPr>
    </w:p>
    <w:p w14:paraId="47488EEB" w14:textId="77777777" w:rsidR="00936465" w:rsidRDefault="00936465">
      <w:pPr>
        <w:pBdr>
          <w:top w:val="single" w:sz="4" w:space="1" w:color="000000"/>
          <w:left w:val="single" w:sz="4" w:space="12" w:color="000000"/>
          <w:bottom w:val="single" w:sz="4" w:space="1" w:color="000000"/>
          <w:right w:val="single" w:sz="4" w:space="31" w:color="000000"/>
        </w:pBdr>
        <w:shd w:val="clear" w:color="auto" w:fill="99CCFF"/>
        <w:jc w:val="center"/>
        <w:rPr>
          <w:rFonts w:ascii="Calibri" w:hAnsi="Calibri" w:cs="Calibri"/>
          <w:b/>
          <w:bCs/>
          <w:sz w:val="10"/>
        </w:rPr>
      </w:pPr>
    </w:p>
    <w:p w14:paraId="459FB11A" w14:textId="7849AF25" w:rsidR="00936465" w:rsidRDefault="00936465">
      <w:pPr>
        <w:pStyle w:val="Titre3"/>
      </w:pPr>
      <w:r>
        <w:t>Charte des écrivains 202</w:t>
      </w:r>
      <w:r w:rsidR="00D75DE6">
        <w:t>6</w:t>
      </w:r>
    </w:p>
    <w:p w14:paraId="1A5A0338" w14:textId="77777777" w:rsidR="00936465" w:rsidRDefault="00936465">
      <w:pPr>
        <w:pBdr>
          <w:top w:val="single" w:sz="4" w:space="1" w:color="000000"/>
          <w:left w:val="single" w:sz="4" w:space="12" w:color="000000"/>
          <w:bottom w:val="single" w:sz="4" w:space="1" w:color="000000"/>
          <w:right w:val="single" w:sz="4" w:space="31" w:color="000000"/>
        </w:pBdr>
        <w:shd w:val="clear" w:color="auto" w:fill="99CCFF"/>
        <w:jc w:val="center"/>
        <w:rPr>
          <w:rFonts w:cs="Arial"/>
          <w:b/>
          <w:bCs/>
          <w:color w:val="000000"/>
          <w:sz w:val="10"/>
          <w:szCs w:val="22"/>
        </w:rPr>
      </w:pPr>
    </w:p>
    <w:p w14:paraId="0A3A4DD8" w14:textId="77777777" w:rsidR="00936465" w:rsidRDefault="00936465">
      <w:pPr>
        <w:pStyle w:val="Titre1"/>
        <w:spacing w:before="150"/>
        <w:jc w:val="left"/>
        <w:rPr>
          <w:rFonts w:ascii="Calibri" w:hAnsi="Calibri" w:cs="Calibri"/>
          <w:b w:val="0"/>
          <w:bCs w:val="0"/>
          <w:smallCaps w:val="0"/>
          <w:color w:val="000000"/>
          <w:sz w:val="10"/>
          <w:szCs w:val="24"/>
          <w:u w:val="none"/>
        </w:rPr>
      </w:pPr>
    </w:p>
    <w:p w14:paraId="79C90A6B" w14:textId="77777777" w:rsidR="00936465" w:rsidRDefault="00936465">
      <w:pPr>
        <w:pStyle w:val="Titre3"/>
        <w:jc w:val="left"/>
      </w:pPr>
      <w:r>
        <w:t xml:space="preserve">Tarifs des rencontres </w:t>
      </w:r>
    </w:p>
    <w:p w14:paraId="725DF439" w14:textId="77777777" w:rsidR="009B7488" w:rsidRPr="009B7488" w:rsidRDefault="009B7488" w:rsidP="009B7488">
      <w:pPr>
        <w:pStyle w:val="NormalWeb"/>
        <w:spacing w:after="0"/>
        <w:jc w:val="both"/>
        <w:rPr>
          <w:rFonts w:ascii="Calibri" w:hAnsi="Calibri" w:cs="Calibri"/>
          <w:b/>
          <w:bCs/>
        </w:rPr>
      </w:pPr>
      <w:r w:rsidRPr="009B7488">
        <w:rPr>
          <w:rFonts w:ascii="Calibri" w:hAnsi="Calibri" w:cs="Calibri"/>
          <w:b/>
          <w:bCs/>
        </w:rPr>
        <w:t>Recommandations tarifaires</w:t>
      </w:r>
    </w:p>
    <w:p w14:paraId="196F3222"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La Charte recommande des tarifs pour les rencontres et les signatures. Ces recommandations tarifaires sont réévaluées chaque année.</w:t>
      </w:r>
    </w:p>
    <w:p w14:paraId="59D72F59" w14:textId="77777777" w:rsidR="009B7488" w:rsidRDefault="009B7488" w:rsidP="009B7488">
      <w:pPr>
        <w:pStyle w:val="NormalWeb"/>
        <w:spacing w:after="0"/>
        <w:jc w:val="both"/>
        <w:rPr>
          <w:rFonts w:ascii="Calibri" w:hAnsi="Calibri" w:cs="Calibri"/>
        </w:rPr>
      </w:pPr>
      <w:r w:rsidRPr="009B7488">
        <w:rPr>
          <w:rFonts w:ascii="Calibri" w:hAnsi="Calibri" w:cs="Calibri"/>
        </w:rPr>
        <w:t>Pour percevoir des revenus artistiques issus des rencontres et ateliers réalisés en salons du livre, établissements scolaires, médiathèques, etc., l’</w:t>
      </w:r>
      <w:proofErr w:type="spellStart"/>
      <w:r w:rsidRPr="009B7488">
        <w:rPr>
          <w:rFonts w:ascii="Calibri" w:hAnsi="Calibri" w:cs="Calibri"/>
        </w:rPr>
        <w:t>artiste-auteur·ice</w:t>
      </w:r>
      <w:proofErr w:type="spellEnd"/>
      <w:r w:rsidRPr="009B7488">
        <w:rPr>
          <w:rFonts w:ascii="Calibri" w:hAnsi="Calibri" w:cs="Calibri"/>
        </w:rPr>
        <w:t xml:space="preserve"> doit émettre une facture en bonne et due forme (avec un numéro de </w:t>
      </w:r>
      <w:proofErr w:type="spellStart"/>
      <w:r w:rsidRPr="009B7488">
        <w:rPr>
          <w:rFonts w:ascii="Calibri" w:hAnsi="Calibri" w:cs="Calibri"/>
        </w:rPr>
        <w:t>siret</w:t>
      </w:r>
      <w:proofErr w:type="spellEnd"/>
      <w:r w:rsidRPr="009B7488">
        <w:rPr>
          <w:rFonts w:ascii="Calibri" w:hAnsi="Calibri" w:cs="Calibri"/>
        </w:rPr>
        <w:t>) et encaisser le montant brut de la prestation (qui sera par la suite déclarée en Bénéfices non commerciaux à l’Urssaf artistes-auteurs).</w:t>
      </w:r>
      <w:r w:rsidRPr="009B7488">
        <w:rPr>
          <w:rFonts w:ascii="Calibri" w:hAnsi="Calibri" w:cs="Calibri"/>
        </w:rPr>
        <w:br/>
      </w:r>
    </w:p>
    <w:p w14:paraId="7672EFDA" w14:textId="3696FF91" w:rsidR="009B7488" w:rsidRPr="009B7488" w:rsidRDefault="009B7488" w:rsidP="009B7488">
      <w:pPr>
        <w:pStyle w:val="NormalWeb"/>
        <w:spacing w:after="0"/>
        <w:jc w:val="both"/>
        <w:rPr>
          <w:rFonts w:ascii="Calibri" w:hAnsi="Calibri" w:cs="Calibri"/>
        </w:rPr>
      </w:pPr>
      <w:r w:rsidRPr="009B7488">
        <w:rPr>
          <w:rFonts w:ascii="Calibri" w:hAnsi="Calibri" w:cs="Calibri"/>
        </w:rPr>
        <w:t>Par conséquence, les recommandations tarifaires des rencontres et ateliers sont ici exprimées en brut.</w:t>
      </w:r>
    </w:p>
    <w:p w14:paraId="32687AA7"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b/>
          <w:bCs/>
        </w:rPr>
        <w:t>Mise à jour annuelle des recommandations tarifaires</w:t>
      </w:r>
    </w:p>
    <w:p w14:paraId="6D362744"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Les recommandations de la Charte en matière de rémunération sont réévaluées et votées chaque année lors de son assemblée générale. Ces réévaluations n’ont pas d’impact sur les engagements pris avant cette date.</w:t>
      </w:r>
    </w:p>
    <w:p w14:paraId="518D4A4C"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L’assemblée générale du 24 mars 2025 a voté l’indexation des recommandations tarifaires sur l’indice des prix à la consommation, soit +0,8 % (indice Insee février 2025).</w:t>
      </w:r>
    </w:p>
    <w:p w14:paraId="1A20C9BA" w14:textId="4F4C816E" w:rsidR="009B7488" w:rsidRPr="009B7488" w:rsidRDefault="009B7488" w:rsidP="009B7488">
      <w:pPr>
        <w:pStyle w:val="NormalWeb"/>
        <w:spacing w:after="0"/>
        <w:jc w:val="both"/>
        <w:rPr>
          <w:rFonts w:ascii="Calibri" w:hAnsi="Calibri" w:cs="Calibri"/>
        </w:rPr>
      </w:pPr>
      <w:r w:rsidRPr="009B7488">
        <w:rPr>
          <w:rFonts w:ascii="Calibri" w:hAnsi="Calibri" w:cs="Calibri"/>
        </w:rPr>
        <w:t>Le CNL et la SOFIA conditionnent l’obtention de leurs subventions, aux organisateurs de manifestations littéraires, au respect d’un tarif de rémunération minimum des auteurs et autrices. Pour ce faire, ils se réfèrent aux recommandations tarifaires définies chaque année par la Charte.</w:t>
      </w:r>
    </w:p>
    <w:p w14:paraId="07CBF8FD" w14:textId="77777777" w:rsidR="009B7488" w:rsidRDefault="009B7488" w:rsidP="009B7488">
      <w:pPr>
        <w:pStyle w:val="NormalWeb"/>
        <w:spacing w:after="0"/>
        <w:jc w:val="center"/>
        <w:rPr>
          <w:rFonts w:ascii="Calibri" w:hAnsi="Calibri" w:cs="Calibri"/>
          <w:b/>
          <w:bCs/>
          <w:sz w:val="36"/>
          <w:szCs w:val="36"/>
        </w:rPr>
      </w:pPr>
    </w:p>
    <w:p w14:paraId="3CAB8CE8" w14:textId="77777777" w:rsidR="009B7488" w:rsidRDefault="009B7488" w:rsidP="009B7488">
      <w:pPr>
        <w:pStyle w:val="NormalWeb"/>
        <w:spacing w:after="0"/>
        <w:jc w:val="center"/>
        <w:rPr>
          <w:rFonts w:ascii="Calibri" w:hAnsi="Calibri" w:cs="Calibri"/>
          <w:b/>
          <w:bCs/>
          <w:sz w:val="36"/>
          <w:szCs w:val="36"/>
        </w:rPr>
      </w:pPr>
    </w:p>
    <w:p w14:paraId="76E7A77A" w14:textId="371BB2EA" w:rsidR="009B7488" w:rsidRPr="009B7488" w:rsidRDefault="009B7488" w:rsidP="009B7488">
      <w:pPr>
        <w:pStyle w:val="NormalWeb"/>
        <w:spacing w:after="0"/>
        <w:jc w:val="center"/>
        <w:rPr>
          <w:rFonts w:ascii="Calibri" w:hAnsi="Calibri" w:cs="Calibri"/>
          <w:b/>
          <w:bCs/>
          <w:sz w:val="36"/>
          <w:szCs w:val="36"/>
        </w:rPr>
      </w:pPr>
      <w:r w:rsidRPr="009B7488">
        <w:rPr>
          <w:rFonts w:ascii="Calibri" w:hAnsi="Calibri" w:cs="Calibri"/>
          <w:b/>
          <w:bCs/>
          <w:sz w:val="36"/>
          <w:szCs w:val="36"/>
        </w:rPr>
        <w:lastRenderedPageBreak/>
        <w:t>Les recommandations tarifaires 2026</w:t>
      </w:r>
    </w:p>
    <w:p w14:paraId="3010FB64" w14:textId="53AA69D1" w:rsidR="009B7488" w:rsidRPr="009B7488" w:rsidRDefault="009B7488" w:rsidP="009B7488">
      <w:pPr>
        <w:pStyle w:val="NormalWeb"/>
        <w:spacing w:after="0"/>
        <w:jc w:val="both"/>
        <w:rPr>
          <w:rFonts w:ascii="Calibri" w:hAnsi="Calibri" w:cs="Calibri"/>
          <w:b/>
          <w:bCs/>
        </w:rPr>
      </w:pPr>
      <w:r w:rsidRPr="009B7488">
        <w:rPr>
          <w:rFonts w:ascii="Calibri" w:hAnsi="Calibri" w:cs="Calibri"/>
          <w:b/>
          <w:bCs/>
        </w:rPr>
        <w:t xml:space="preserve">1/ </w:t>
      </w:r>
      <w:r w:rsidRPr="009B7488">
        <w:rPr>
          <w:rFonts w:ascii="Calibri" w:hAnsi="Calibri" w:cs="Calibri"/>
          <w:b/>
          <w:bCs/>
        </w:rPr>
        <w:t>Les rencontres et ateliers :</w:t>
      </w:r>
    </w:p>
    <w:p w14:paraId="1688FFC6" w14:textId="77777777" w:rsidR="009B7488" w:rsidRPr="009B7488" w:rsidRDefault="009B7488" w:rsidP="009B7488">
      <w:pPr>
        <w:pStyle w:val="NormalWeb"/>
        <w:numPr>
          <w:ilvl w:val="0"/>
          <w:numId w:val="5"/>
        </w:numPr>
        <w:spacing w:before="0" w:after="0"/>
        <w:jc w:val="both"/>
        <w:rPr>
          <w:rFonts w:ascii="Calibri" w:hAnsi="Calibri" w:cs="Calibri"/>
        </w:rPr>
      </w:pPr>
      <w:r w:rsidRPr="009B7488">
        <w:rPr>
          <w:rFonts w:ascii="Calibri" w:hAnsi="Calibri" w:cs="Calibri"/>
          <w:b/>
          <w:bCs/>
        </w:rPr>
        <w:t>Journée complète (3 rencontres maximum) : 514,64 € brut HT</w:t>
      </w:r>
    </w:p>
    <w:p w14:paraId="20C91D9B" w14:textId="77777777" w:rsidR="009B7488" w:rsidRPr="009B7488" w:rsidRDefault="009B7488" w:rsidP="009B7488">
      <w:pPr>
        <w:pStyle w:val="NormalWeb"/>
        <w:numPr>
          <w:ilvl w:val="0"/>
          <w:numId w:val="5"/>
        </w:numPr>
        <w:spacing w:before="0" w:after="0"/>
        <w:jc w:val="both"/>
        <w:rPr>
          <w:rFonts w:ascii="Calibri" w:hAnsi="Calibri" w:cs="Calibri"/>
        </w:rPr>
      </w:pPr>
      <w:r w:rsidRPr="009B7488">
        <w:rPr>
          <w:rFonts w:ascii="Calibri" w:hAnsi="Calibri" w:cs="Calibri"/>
          <w:b/>
          <w:bCs/>
        </w:rPr>
        <w:t>Demi-journée (2 rencontres maximum) : 310,47 € brut HT</w:t>
      </w:r>
    </w:p>
    <w:p w14:paraId="2BDE5ED8" w14:textId="472FC7D8" w:rsidR="009B7488" w:rsidRPr="009B7488" w:rsidRDefault="009B7488" w:rsidP="009B7488">
      <w:pPr>
        <w:pStyle w:val="NormalWeb"/>
        <w:spacing w:after="0"/>
        <w:jc w:val="both"/>
        <w:rPr>
          <w:rFonts w:ascii="Calibri" w:hAnsi="Calibri" w:cs="Calibri"/>
        </w:rPr>
      </w:pPr>
      <w:r w:rsidRPr="009B7488">
        <w:rPr>
          <w:rFonts w:ascii="Calibri" w:hAnsi="Calibri" w:cs="Calibri"/>
        </w:rPr>
        <w:t>Les rencontres et ateliers s’entendent comme étant des lectures publiques présentation de l’œuvre, présentation du processus de création lors de rencontres publiques et débats, des ateliers d’illustration et ateliers d’écriture.</w:t>
      </w:r>
    </w:p>
    <w:p w14:paraId="0CE9413D"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Référence : </w:t>
      </w:r>
      <w:hyperlink r:id="rId10" w:history="1">
        <w:r w:rsidRPr="009B7488">
          <w:rPr>
            <w:rStyle w:val="Lienhypertexte"/>
            <w:rFonts w:ascii="Calibri" w:hAnsi="Calibri" w:cs="Calibri"/>
          </w:rPr>
          <w:t>Décret n° 2020-1095 du 28 août 2020 relatif à la nature des activités et des revenus des artistes-auteurs</w:t>
        </w:r>
      </w:hyperlink>
    </w:p>
    <w:p w14:paraId="6B78808C" w14:textId="4B845254" w:rsidR="009B7488" w:rsidRPr="009B7488" w:rsidRDefault="009B7488" w:rsidP="009B7488">
      <w:pPr>
        <w:pStyle w:val="NormalWeb"/>
        <w:spacing w:after="0"/>
        <w:jc w:val="both"/>
        <w:rPr>
          <w:rFonts w:ascii="Calibri" w:hAnsi="Calibri" w:cs="Calibri"/>
          <w:b/>
          <w:bCs/>
        </w:rPr>
      </w:pPr>
      <w:r w:rsidRPr="009B7488">
        <w:rPr>
          <w:rFonts w:ascii="Calibri" w:hAnsi="Calibri" w:cs="Calibri"/>
          <w:b/>
          <w:bCs/>
        </w:rPr>
        <w:t xml:space="preserve">2/ </w:t>
      </w:r>
      <w:r w:rsidRPr="009B7488">
        <w:rPr>
          <w:rFonts w:ascii="Calibri" w:hAnsi="Calibri" w:cs="Calibri"/>
          <w:b/>
          <w:bCs/>
        </w:rPr>
        <w:t>Une rencontre collective :</w:t>
      </w:r>
    </w:p>
    <w:p w14:paraId="08E86E54" w14:textId="77777777" w:rsidR="009B7488" w:rsidRPr="009B7488" w:rsidRDefault="009B7488" w:rsidP="009B7488">
      <w:pPr>
        <w:pStyle w:val="NormalWeb"/>
        <w:numPr>
          <w:ilvl w:val="0"/>
          <w:numId w:val="6"/>
        </w:numPr>
        <w:spacing w:before="0" w:after="0"/>
        <w:jc w:val="both"/>
        <w:rPr>
          <w:rFonts w:ascii="Calibri" w:hAnsi="Calibri" w:cs="Calibri"/>
        </w:rPr>
      </w:pPr>
      <w:r w:rsidRPr="009B7488">
        <w:rPr>
          <w:rFonts w:ascii="Calibri" w:hAnsi="Calibri" w:cs="Calibri"/>
          <w:b/>
          <w:bCs/>
        </w:rPr>
        <w:t xml:space="preserve">Un plateau, une table ronde réunissant au moins trois </w:t>
      </w:r>
      <w:proofErr w:type="spellStart"/>
      <w:r w:rsidRPr="009B7488">
        <w:rPr>
          <w:rFonts w:ascii="Calibri" w:hAnsi="Calibri" w:cs="Calibri"/>
          <w:b/>
          <w:bCs/>
        </w:rPr>
        <w:t>auteur·ices</w:t>
      </w:r>
      <w:proofErr w:type="spellEnd"/>
      <w:r w:rsidRPr="009B7488">
        <w:rPr>
          <w:rFonts w:ascii="Calibri" w:hAnsi="Calibri" w:cs="Calibri"/>
          <w:b/>
          <w:bCs/>
        </w:rPr>
        <w:t xml:space="preserve"> :</w:t>
      </w:r>
      <w:r w:rsidRPr="009B7488">
        <w:rPr>
          <w:rFonts w:ascii="Calibri" w:hAnsi="Calibri" w:cs="Calibri"/>
        </w:rPr>
        <w:t> </w:t>
      </w:r>
      <w:r w:rsidRPr="009B7488">
        <w:rPr>
          <w:rFonts w:ascii="Calibri" w:hAnsi="Calibri" w:cs="Calibri"/>
          <w:b/>
          <w:bCs/>
        </w:rPr>
        <w:t>184,46 € brut HT</w:t>
      </w:r>
    </w:p>
    <w:p w14:paraId="57DD3C8B"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 xml:space="preserve">Si la rencontre réunit un ou deux </w:t>
      </w:r>
      <w:proofErr w:type="spellStart"/>
      <w:r w:rsidRPr="009B7488">
        <w:rPr>
          <w:rFonts w:ascii="Calibri" w:hAnsi="Calibri" w:cs="Calibri"/>
        </w:rPr>
        <w:t>auteur·ices</w:t>
      </w:r>
      <w:proofErr w:type="spellEnd"/>
      <w:r w:rsidRPr="009B7488">
        <w:rPr>
          <w:rFonts w:ascii="Calibri" w:hAnsi="Calibri" w:cs="Calibri"/>
        </w:rPr>
        <w:t>, il faut appliquer la recommandation tarifaire demi-journée de la Charte.</w:t>
      </w:r>
    </w:p>
    <w:p w14:paraId="5D688AE5" w14:textId="4829B615" w:rsidR="009B7488" w:rsidRPr="009B7488" w:rsidRDefault="009B7488" w:rsidP="009B7488">
      <w:pPr>
        <w:pStyle w:val="NormalWeb"/>
        <w:spacing w:after="0"/>
        <w:jc w:val="both"/>
        <w:rPr>
          <w:rFonts w:ascii="Calibri" w:hAnsi="Calibri" w:cs="Calibri"/>
          <w:b/>
          <w:bCs/>
        </w:rPr>
      </w:pPr>
      <w:r w:rsidRPr="009B7488">
        <w:rPr>
          <w:rFonts w:ascii="Calibri" w:hAnsi="Calibri" w:cs="Calibri"/>
          <w:b/>
          <w:bCs/>
        </w:rPr>
        <w:t xml:space="preserve">3/ </w:t>
      </w:r>
      <w:r w:rsidRPr="009B7488">
        <w:rPr>
          <w:rFonts w:ascii="Calibri" w:hAnsi="Calibri" w:cs="Calibri"/>
          <w:b/>
          <w:bCs/>
        </w:rPr>
        <w:t>Une lecture-performance :</w:t>
      </w:r>
    </w:p>
    <w:p w14:paraId="0EA54A56" w14:textId="77777777" w:rsidR="009B7488" w:rsidRPr="009B7488" w:rsidRDefault="009B7488" w:rsidP="009B7488">
      <w:pPr>
        <w:pStyle w:val="NormalWeb"/>
        <w:numPr>
          <w:ilvl w:val="0"/>
          <w:numId w:val="7"/>
        </w:numPr>
        <w:spacing w:before="0" w:after="0"/>
        <w:jc w:val="both"/>
        <w:rPr>
          <w:rFonts w:ascii="Calibri" w:hAnsi="Calibri" w:cs="Calibri"/>
        </w:rPr>
      </w:pPr>
      <w:r w:rsidRPr="009B7488">
        <w:rPr>
          <w:rFonts w:ascii="Calibri" w:hAnsi="Calibri" w:cs="Calibri"/>
          <w:b/>
          <w:bCs/>
        </w:rPr>
        <w:t xml:space="preserve">Une lecture musicale, une lecture dessinée, un concert dessiné : 567,79 € brut HT (par </w:t>
      </w:r>
      <w:proofErr w:type="spellStart"/>
      <w:r w:rsidRPr="009B7488">
        <w:rPr>
          <w:rFonts w:ascii="Calibri" w:hAnsi="Calibri" w:cs="Calibri"/>
          <w:b/>
          <w:bCs/>
        </w:rPr>
        <w:t>auteur·ice</w:t>
      </w:r>
      <w:proofErr w:type="spellEnd"/>
      <w:r w:rsidRPr="009B7488">
        <w:rPr>
          <w:rFonts w:ascii="Calibri" w:hAnsi="Calibri" w:cs="Calibri"/>
          <w:b/>
          <w:bCs/>
        </w:rPr>
        <w:t>)</w:t>
      </w:r>
    </w:p>
    <w:p w14:paraId="7621823B"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La lecture-performance est un travail de création, d’adaptation ou de mise en scène de l’œuvre de l’</w:t>
      </w:r>
      <w:proofErr w:type="spellStart"/>
      <w:r w:rsidRPr="009B7488">
        <w:rPr>
          <w:rFonts w:ascii="Calibri" w:hAnsi="Calibri" w:cs="Calibri"/>
        </w:rPr>
        <w:t>auteur·ice</w:t>
      </w:r>
      <w:proofErr w:type="spellEnd"/>
      <w:r w:rsidRPr="009B7488">
        <w:rPr>
          <w:rFonts w:ascii="Calibri" w:hAnsi="Calibri" w:cs="Calibri"/>
        </w:rPr>
        <w:t xml:space="preserve"> contrairement à une lecture publique.</w:t>
      </w:r>
    </w:p>
    <w:p w14:paraId="7E8E0C16"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Les recommandations tarifaires concernant la rencontre collective et la lecture-performance émanent de </w:t>
      </w:r>
      <w:hyperlink r:id="rId11" w:history="1">
        <w:r w:rsidRPr="009B7488">
          <w:rPr>
            <w:rStyle w:val="Lienhypertexte"/>
            <w:rFonts w:ascii="Calibri" w:hAnsi="Calibri" w:cs="Calibri"/>
          </w:rPr>
          <w:t>la Sofia et le CNL</w:t>
        </w:r>
      </w:hyperlink>
      <w:r w:rsidRPr="009B7488">
        <w:rPr>
          <w:rFonts w:ascii="Calibri" w:hAnsi="Calibri" w:cs="Calibri"/>
        </w:rPr>
        <w:t>.</w:t>
      </w:r>
    </w:p>
    <w:p w14:paraId="2A72B589" w14:textId="69E486E2" w:rsidR="009B7488" w:rsidRPr="009B7488" w:rsidRDefault="009B7488" w:rsidP="009B7488">
      <w:pPr>
        <w:pStyle w:val="NormalWeb"/>
        <w:spacing w:after="0"/>
        <w:jc w:val="both"/>
        <w:rPr>
          <w:rFonts w:ascii="Calibri" w:hAnsi="Calibri" w:cs="Calibri"/>
          <w:b/>
          <w:bCs/>
        </w:rPr>
      </w:pPr>
      <w:r w:rsidRPr="009B7488">
        <w:rPr>
          <w:rFonts w:ascii="Calibri" w:hAnsi="Calibri" w:cs="Calibri"/>
          <w:b/>
          <w:bCs/>
        </w:rPr>
        <w:t xml:space="preserve">4/ </w:t>
      </w:r>
      <w:r w:rsidRPr="009B7488">
        <w:rPr>
          <w:rFonts w:ascii="Calibri" w:hAnsi="Calibri" w:cs="Calibri"/>
          <w:b/>
          <w:bCs/>
        </w:rPr>
        <w:t>Les signatures (dédicaces) :</w:t>
      </w:r>
    </w:p>
    <w:p w14:paraId="0DAB00E5" w14:textId="77777777" w:rsidR="009B7488" w:rsidRPr="009B7488" w:rsidRDefault="009B7488" w:rsidP="009B7488">
      <w:pPr>
        <w:pStyle w:val="NormalWeb"/>
        <w:numPr>
          <w:ilvl w:val="0"/>
          <w:numId w:val="8"/>
        </w:numPr>
        <w:spacing w:before="0" w:after="0"/>
        <w:jc w:val="both"/>
        <w:rPr>
          <w:rFonts w:ascii="Calibri" w:hAnsi="Calibri" w:cs="Calibri"/>
        </w:rPr>
      </w:pPr>
      <w:r w:rsidRPr="009B7488">
        <w:rPr>
          <w:rFonts w:ascii="Calibri" w:hAnsi="Calibri" w:cs="Calibri"/>
          <w:b/>
          <w:bCs/>
        </w:rPr>
        <w:t>257,32 € brut HT la journée</w:t>
      </w:r>
    </w:p>
    <w:p w14:paraId="744E068A" w14:textId="77777777" w:rsidR="009B7488" w:rsidRPr="009B7488" w:rsidRDefault="009B7488" w:rsidP="009B7488">
      <w:pPr>
        <w:pStyle w:val="NormalWeb"/>
        <w:numPr>
          <w:ilvl w:val="0"/>
          <w:numId w:val="8"/>
        </w:numPr>
        <w:spacing w:before="0" w:after="0"/>
        <w:jc w:val="both"/>
        <w:rPr>
          <w:rFonts w:ascii="Calibri" w:hAnsi="Calibri" w:cs="Calibri"/>
        </w:rPr>
      </w:pPr>
      <w:r w:rsidRPr="009B7488">
        <w:rPr>
          <w:rFonts w:ascii="Calibri" w:hAnsi="Calibri" w:cs="Calibri"/>
          <w:b/>
          <w:bCs/>
        </w:rPr>
        <w:t>155,24 € brut HT la demi-journée</w:t>
      </w:r>
    </w:p>
    <w:p w14:paraId="705DC28F"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La rémunération conseillée pour les journées de signatures est calculée sur la moitié de celle des rencontres.</w:t>
      </w:r>
    </w:p>
    <w:p w14:paraId="57FDCD7A"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Libre à l’</w:t>
      </w:r>
      <w:proofErr w:type="spellStart"/>
      <w:r w:rsidRPr="009B7488">
        <w:rPr>
          <w:rFonts w:ascii="Calibri" w:hAnsi="Calibri" w:cs="Calibri"/>
        </w:rPr>
        <w:t>auteur·ice</w:t>
      </w:r>
      <w:proofErr w:type="spellEnd"/>
      <w:r w:rsidRPr="009B7488">
        <w:rPr>
          <w:rFonts w:ascii="Calibri" w:hAnsi="Calibri" w:cs="Calibri"/>
        </w:rPr>
        <w:t xml:space="preserve"> ou à l’</w:t>
      </w:r>
      <w:proofErr w:type="spellStart"/>
      <w:r w:rsidRPr="009B7488">
        <w:rPr>
          <w:rFonts w:ascii="Calibri" w:hAnsi="Calibri" w:cs="Calibri"/>
        </w:rPr>
        <w:t>illustrateur·ice</w:t>
      </w:r>
      <w:proofErr w:type="spellEnd"/>
      <w:r w:rsidRPr="009B7488">
        <w:rPr>
          <w:rFonts w:ascii="Calibri" w:hAnsi="Calibri" w:cs="Calibri"/>
        </w:rPr>
        <w:t xml:space="preserve"> ayant participé à des rencontres associées à un salon d’accepter d’effectuer gratuitement une séance de signatures, les horaires de cette séance étant à convenir avec l’</w:t>
      </w:r>
      <w:proofErr w:type="spellStart"/>
      <w:r w:rsidRPr="009B7488">
        <w:rPr>
          <w:rFonts w:ascii="Calibri" w:hAnsi="Calibri" w:cs="Calibri"/>
        </w:rPr>
        <w:t>auteur·ice</w:t>
      </w:r>
      <w:proofErr w:type="spellEnd"/>
      <w:r w:rsidRPr="009B7488">
        <w:rPr>
          <w:rFonts w:ascii="Calibri" w:hAnsi="Calibri" w:cs="Calibri"/>
        </w:rPr>
        <w:t xml:space="preserve"> en amont.</w:t>
      </w:r>
    </w:p>
    <w:p w14:paraId="3EC09FF5"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b/>
          <w:bCs/>
        </w:rPr>
        <w:t>TVA :</w:t>
      </w:r>
    </w:p>
    <w:p w14:paraId="7EC53D49" w14:textId="77777777" w:rsidR="009B7488" w:rsidRPr="009B7488" w:rsidRDefault="009B7488" w:rsidP="009B7488">
      <w:pPr>
        <w:pStyle w:val="NormalWeb"/>
        <w:spacing w:after="0"/>
        <w:jc w:val="both"/>
        <w:rPr>
          <w:rFonts w:ascii="Calibri" w:hAnsi="Calibri" w:cs="Calibri"/>
        </w:rPr>
      </w:pPr>
      <w:proofErr w:type="spellStart"/>
      <w:r w:rsidRPr="009B7488">
        <w:rPr>
          <w:rFonts w:ascii="Calibri" w:hAnsi="Calibri" w:cs="Calibri"/>
        </w:rPr>
        <w:t>Certain·es</w:t>
      </w:r>
      <w:proofErr w:type="spellEnd"/>
      <w:r w:rsidRPr="009B7488">
        <w:rPr>
          <w:rFonts w:ascii="Calibri" w:hAnsi="Calibri" w:cs="Calibri"/>
        </w:rPr>
        <w:t xml:space="preserve"> auteurs et autrices sont </w:t>
      </w:r>
      <w:proofErr w:type="spellStart"/>
      <w:r w:rsidRPr="009B7488">
        <w:rPr>
          <w:rFonts w:ascii="Calibri" w:hAnsi="Calibri" w:cs="Calibri"/>
        </w:rPr>
        <w:t>assujetti·es</w:t>
      </w:r>
      <w:proofErr w:type="spellEnd"/>
      <w:r w:rsidRPr="009B7488">
        <w:rPr>
          <w:rFonts w:ascii="Calibri" w:hAnsi="Calibri" w:cs="Calibri"/>
        </w:rPr>
        <w:t xml:space="preserve"> à la TVA et doivent donc, comme la loi les y oblige, ajouter de la TVA au tarif brut indiqué.</w:t>
      </w:r>
    </w:p>
    <w:p w14:paraId="6FCD1E11"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lastRenderedPageBreak/>
        <w:t>Le taux de la TVA varie selon la nature de l’intervention facturée :</w:t>
      </w:r>
    </w:p>
    <w:p w14:paraId="2B075874" w14:textId="77777777" w:rsidR="009B7488" w:rsidRPr="009B7488" w:rsidRDefault="009B7488" w:rsidP="009B7488">
      <w:pPr>
        <w:pStyle w:val="NormalWeb"/>
        <w:numPr>
          <w:ilvl w:val="0"/>
          <w:numId w:val="9"/>
        </w:numPr>
        <w:spacing w:before="0" w:after="0"/>
        <w:jc w:val="both"/>
        <w:rPr>
          <w:rFonts w:ascii="Calibri" w:hAnsi="Calibri" w:cs="Calibri"/>
        </w:rPr>
      </w:pPr>
      <w:r w:rsidRPr="009B7488">
        <w:rPr>
          <w:rFonts w:ascii="Calibri" w:hAnsi="Calibri" w:cs="Calibri"/>
        </w:rPr>
        <w:t>5,5 % sur les ventes d’œuvres.</w:t>
      </w:r>
    </w:p>
    <w:p w14:paraId="53D931BB" w14:textId="77777777" w:rsidR="009B7488" w:rsidRPr="009B7488" w:rsidRDefault="009B7488" w:rsidP="009B7488">
      <w:pPr>
        <w:pStyle w:val="NormalWeb"/>
        <w:numPr>
          <w:ilvl w:val="0"/>
          <w:numId w:val="9"/>
        </w:numPr>
        <w:spacing w:before="0" w:after="0"/>
        <w:jc w:val="both"/>
        <w:rPr>
          <w:rFonts w:ascii="Calibri" w:hAnsi="Calibri" w:cs="Calibri"/>
        </w:rPr>
      </w:pPr>
      <w:r w:rsidRPr="009B7488">
        <w:rPr>
          <w:rFonts w:ascii="Calibri" w:hAnsi="Calibri" w:cs="Calibri"/>
        </w:rPr>
        <w:t>10 % sur les droits d’auteur.</w:t>
      </w:r>
    </w:p>
    <w:p w14:paraId="4E55B9BC" w14:textId="77777777" w:rsidR="009B7488" w:rsidRPr="009B7488" w:rsidRDefault="009B7488" w:rsidP="009B7488">
      <w:pPr>
        <w:pStyle w:val="NormalWeb"/>
        <w:numPr>
          <w:ilvl w:val="0"/>
          <w:numId w:val="9"/>
        </w:numPr>
        <w:spacing w:before="0" w:after="0"/>
        <w:jc w:val="both"/>
        <w:rPr>
          <w:rFonts w:ascii="Calibri" w:hAnsi="Calibri" w:cs="Calibri"/>
        </w:rPr>
      </w:pPr>
      <w:r w:rsidRPr="009B7488">
        <w:rPr>
          <w:rFonts w:ascii="Calibri" w:hAnsi="Calibri" w:cs="Calibri"/>
        </w:rPr>
        <w:t>10 % sur les lectures publiques assorties d’une présentation orale des œuvres, les signatures et les lectures performances.</w:t>
      </w:r>
    </w:p>
    <w:p w14:paraId="49C3433A" w14:textId="77777777" w:rsidR="009B7488" w:rsidRPr="009B7488" w:rsidRDefault="009B7488" w:rsidP="009B7488">
      <w:pPr>
        <w:pStyle w:val="NormalWeb"/>
        <w:numPr>
          <w:ilvl w:val="0"/>
          <w:numId w:val="9"/>
        </w:numPr>
        <w:spacing w:before="0" w:after="0"/>
        <w:jc w:val="both"/>
        <w:rPr>
          <w:rFonts w:ascii="Calibri" w:hAnsi="Calibri" w:cs="Calibri"/>
        </w:rPr>
      </w:pPr>
      <w:r w:rsidRPr="009B7488">
        <w:rPr>
          <w:rFonts w:ascii="Calibri" w:hAnsi="Calibri" w:cs="Calibri"/>
        </w:rPr>
        <w:t>20 % sur les ateliers d’écriture, les tables rondes et les débats.</w:t>
      </w:r>
    </w:p>
    <w:p w14:paraId="62F6F16B"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Nota bene :</w:t>
      </w:r>
    </w:p>
    <w:p w14:paraId="36987E8C" w14:textId="77777777" w:rsidR="009B7488" w:rsidRPr="009B7488" w:rsidRDefault="009B7488" w:rsidP="009B7488">
      <w:pPr>
        <w:pStyle w:val="NormalWeb"/>
        <w:numPr>
          <w:ilvl w:val="0"/>
          <w:numId w:val="10"/>
        </w:numPr>
        <w:spacing w:before="0" w:after="0"/>
        <w:jc w:val="both"/>
        <w:rPr>
          <w:rFonts w:ascii="Calibri" w:hAnsi="Calibri" w:cs="Calibri"/>
        </w:rPr>
      </w:pPr>
      <w:r w:rsidRPr="009B7488">
        <w:rPr>
          <w:rFonts w:ascii="Calibri" w:hAnsi="Calibri" w:cs="Calibri"/>
        </w:rPr>
        <w:t>Les frais de transport, d’hébergement et de repas sont à la charge de l’</w:t>
      </w:r>
      <w:proofErr w:type="spellStart"/>
      <w:r w:rsidRPr="009B7488">
        <w:rPr>
          <w:rFonts w:ascii="Calibri" w:hAnsi="Calibri" w:cs="Calibri"/>
        </w:rPr>
        <w:t>organisateur·ice</w:t>
      </w:r>
      <w:proofErr w:type="spellEnd"/>
      <w:r w:rsidRPr="009B7488">
        <w:rPr>
          <w:rFonts w:ascii="Calibri" w:hAnsi="Calibri" w:cs="Calibri"/>
        </w:rPr>
        <w:t>. </w:t>
      </w:r>
      <w:r w:rsidRPr="009B7488">
        <w:rPr>
          <w:rFonts w:ascii="Calibri" w:hAnsi="Calibri" w:cs="Calibri"/>
          <w:b/>
          <w:bCs/>
        </w:rPr>
        <w:t xml:space="preserve">En aucun cas les auteurs et les autrices ne doivent être </w:t>
      </w:r>
      <w:proofErr w:type="spellStart"/>
      <w:r w:rsidRPr="009B7488">
        <w:rPr>
          <w:rFonts w:ascii="Calibri" w:hAnsi="Calibri" w:cs="Calibri"/>
          <w:b/>
          <w:bCs/>
        </w:rPr>
        <w:t>obligé·es</w:t>
      </w:r>
      <w:proofErr w:type="spellEnd"/>
      <w:r w:rsidRPr="009B7488">
        <w:rPr>
          <w:rFonts w:ascii="Calibri" w:hAnsi="Calibri" w:cs="Calibri"/>
          <w:b/>
          <w:bCs/>
        </w:rPr>
        <w:t xml:space="preserve"> d’avancer les frais de transport, d’hébergement ou de restauration.</w:t>
      </w:r>
    </w:p>
    <w:p w14:paraId="133B9130" w14:textId="77777777" w:rsidR="009B7488" w:rsidRPr="009B7488" w:rsidRDefault="009B7488" w:rsidP="009B7488">
      <w:pPr>
        <w:pStyle w:val="NormalWeb"/>
        <w:numPr>
          <w:ilvl w:val="0"/>
          <w:numId w:val="10"/>
        </w:numPr>
        <w:spacing w:before="0" w:after="0"/>
        <w:jc w:val="both"/>
        <w:rPr>
          <w:rFonts w:ascii="Calibri" w:hAnsi="Calibri" w:cs="Calibri"/>
        </w:rPr>
      </w:pPr>
      <w:r w:rsidRPr="009B7488">
        <w:rPr>
          <w:rFonts w:ascii="Calibri" w:hAnsi="Calibri" w:cs="Calibri"/>
        </w:rPr>
        <w:t>Le règlement sera effectué sur le lieu même et dans le temps de la manifestation, ou dans un délai n’excédant pas un mois.</w:t>
      </w:r>
    </w:p>
    <w:p w14:paraId="6F3D871F" w14:textId="77777777" w:rsidR="009B7488" w:rsidRPr="009B7488" w:rsidRDefault="009B7488" w:rsidP="009B7488">
      <w:pPr>
        <w:pStyle w:val="NormalWeb"/>
        <w:numPr>
          <w:ilvl w:val="0"/>
          <w:numId w:val="10"/>
        </w:numPr>
        <w:spacing w:before="0" w:after="0"/>
        <w:jc w:val="both"/>
        <w:rPr>
          <w:rFonts w:ascii="Calibri" w:hAnsi="Calibri" w:cs="Calibri"/>
        </w:rPr>
      </w:pPr>
      <w:r w:rsidRPr="009B7488">
        <w:rPr>
          <w:rFonts w:ascii="Calibri" w:hAnsi="Calibri" w:cs="Calibri"/>
        </w:rPr>
        <w:t>Ces recommandations ont été établies après étude et analyse du marché et tiennent compte de l’augmentation annuelle du coût de la vie. Les parties restent libres de déterminer de gré à gré des tarifs différents.</w:t>
      </w:r>
    </w:p>
    <w:p w14:paraId="09E04F80" w14:textId="77777777" w:rsidR="009B7488" w:rsidRPr="009B7488" w:rsidRDefault="009B7488" w:rsidP="009B7488">
      <w:pPr>
        <w:pStyle w:val="NormalWeb"/>
        <w:spacing w:after="0"/>
        <w:jc w:val="both"/>
        <w:rPr>
          <w:rFonts w:ascii="Calibri" w:hAnsi="Calibri" w:cs="Calibri"/>
          <w:b/>
          <w:bCs/>
          <w:sz w:val="28"/>
          <w:szCs w:val="28"/>
          <w:u w:val="single"/>
        </w:rPr>
      </w:pPr>
      <w:r w:rsidRPr="009B7488">
        <w:rPr>
          <w:rFonts w:ascii="Calibri" w:hAnsi="Calibri" w:cs="Calibri"/>
          <w:b/>
          <w:bCs/>
          <w:sz w:val="28"/>
          <w:szCs w:val="28"/>
          <w:u w:val="single"/>
        </w:rPr>
        <w:t>La contribution diffuseur</w:t>
      </w:r>
    </w:p>
    <w:p w14:paraId="7D5687B6"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Depuis le 1er janvier 2019, l’</w:t>
      </w:r>
      <w:hyperlink r:id="rId12" w:history="1">
        <w:r w:rsidRPr="009B7488">
          <w:rPr>
            <w:rStyle w:val="Lienhypertexte"/>
            <w:rFonts w:ascii="Calibri" w:hAnsi="Calibri" w:cs="Calibri"/>
          </w:rPr>
          <w:t>URSSAF</w:t>
        </w:r>
      </w:hyperlink>
      <w:r w:rsidRPr="009B7488">
        <w:rPr>
          <w:rFonts w:ascii="Calibri" w:hAnsi="Calibri" w:cs="Calibri"/>
        </w:rPr>
        <w:t> </w:t>
      </w:r>
      <w:proofErr w:type="gramStart"/>
      <w:r w:rsidRPr="009B7488">
        <w:rPr>
          <w:rFonts w:ascii="Calibri" w:hAnsi="Calibri" w:cs="Calibri"/>
        </w:rPr>
        <w:t>est en charge</w:t>
      </w:r>
      <w:proofErr w:type="gramEnd"/>
      <w:r w:rsidRPr="009B7488">
        <w:rPr>
          <w:rFonts w:ascii="Calibri" w:hAnsi="Calibri" w:cs="Calibri"/>
        </w:rPr>
        <w:t xml:space="preserve"> du recouvrement des cotisations sociales issues des revenus artistiques. À ce titre, les diffuseurs doivent se tourner vers l’URSSAF artistes-auteurs pour connaître leurs obligations.</w:t>
      </w:r>
    </w:p>
    <w:p w14:paraId="74A2E096" w14:textId="77777777" w:rsidR="009B7488" w:rsidRPr="009B7488" w:rsidRDefault="009B7488" w:rsidP="009B7488">
      <w:pPr>
        <w:pStyle w:val="NormalWeb"/>
        <w:spacing w:after="0"/>
        <w:jc w:val="both"/>
        <w:rPr>
          <w:rFonts w:ascii="Calibri" w:hAnsi="Calibri" w:cs="Calibri"/>
          <w:b/>
          <w:bCs/>
          <w:sz w:val="28"/>
          <w:szCs w:val="28"/>
          <w:u w:val="single"/>
        </w:rPr>
      </w:pPr>
      <w:r w:rsidRPr="009B7488">
        <w:rPr>
          <w:rFonts w:ascii="Calibri" w:hAnsi="Calibri" w:cs="Calibri"/>
          <w:b/>
          <w:bCs/>
          <w:sz w:val="28"/>
          <w:szCs w:val="28"/>
          <w:u w:val="single"/>
        </w:rPr>
        <w:t>La certification de précompte</w:t>
      </w:r>
    </w:p>
    <w:p w14:paraId="278EE08A"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 xml:space="preserve">Les diffuseurs doivent fournir aux auteurs et autrices qu’ils auraient </w:t>
      </w:r>
      <w:proofErr w:type="spellStart"/>
      <w:proofErr w:type="gramStart"/>
      <w:r w:rsidRPr="009B7488">
        <w:rPr>
          <w:rFonts w:ascii="Calibri" w:hAnsi="Calibri" w:cs="Calibri"/>
        </w:rPr>
        <w:t>précompté</w:t>
      </w:r>
      <w:proofErr w:type="gramEnd"/>
      <w:r w:rsidRPr="009B7488">
        <w:rPr>
          <w:rFonts w:ascii="Calibri" w:hAnsi="Calibri" w:cs="Calibri"/>
        </w:rPr>
        <w:t>·es</w:t>
      </w:r>
      <w:proofErr w:type="spellEnd"/>
      <w:r w:rsidRPr="009B7488">
        <w:rPr>
          <w:rFonts w:ascii="Calibri" w:hAnsi="Calibri" w:cs="Calibri"/>
        </w:rPr>
        <w:t>, une certification de précompte après paiement des cotisations sociales versées à l’URSSAF.</w:t>
      </w:r>
    </w:p>
    <w:p w14:paraId="2F48E653"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Un modèle de certification de précompte est disponible sur le site de la Sécurité sociale des artistes auteurs : </w:t>
      </w:r>
      <w:hyperlink r:id="rId13" w:history="1">
        <w:r w:rsidRPr="009B7488">
          <w:rPr>
            <w:rStyle w:val="Lienhypertexte"/>
            <w:rFonts w:ascii="Calibri" w:hAnsi="Calibri" w:cs="Calibri"/>
          </w:rPr>
          <w:t>à télécharger ici</w:t>
        </w:r>
      </w:hyperlink>
      <w:r w:rsidRPr="009B7488">
        <w:rPr>
          <w:rFonts w:ascii="Calibri" w:hAnsi="Calibri" w:cs="Calibri"/>
        </w:rPr>
        <w:t>.</w:t>
      </w:r>
    </w:p>
    <w:p w14:paraId="3F0F6AC9" w14:textId="77777777" w:rsidR="009B7488" w:rsidRPr="009B7488" w:rsidRDefault="009B7488" w:rsidP="009B7488">
      <w:pPr>
        <w:pStyle w:val="NormalWeb"/>
        <w:spacing w:after="0"/>
        <w:jc w:val="both"/>
        <w:rPr>
          <w:rFonts w:ascii="Calibri" w:hAnsi="Calibri" w:cs="Calibri"/>
          <w:b/>
          <w:bCs/>
          <w:sz w:val="28"/>
          <w:szCs w:val="28"/>
          <w:u w:val="single"/>
        </w:rPr>
      </w:pPr>
      <w:r w:rsidRPr="009B7488">
        <w:rPr>
          <w:rFonts w:ascii="Calibri" w:hAnsi="Calibri" w:cs="Calibri"/>
          <w:b/>
          <w:bCs/>
          <w:sz w:val="28"/>
          <w:szCs w:val="28"/>
          <w:u w:val="single"/>
        </w:rPr>
        <w:t>Boîte à outils</w:t>
      </w:r>
    </w:p>
    <w:p w14:paraId="4D806701"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t>Pour vous aider, voici quelques liens :</w:t>
      </w:r>
    </w:p>
    <w:p w14:paraId="51FC5DDD" w14:textId="77777777" w:rsidR="009B7488" w:rsidRPr="009B7488" w:rsidRDefault="009B7488" w:rsidP="009B7488">
      <w:pPr>
        <w:pStyle w:val="NormalWeb"/>
        <w:numPr>
          <w:ilvl w:val="0"/>
          <w:numId w:val="11"/>
        </w:numPr>
        <w:spacing w:before="0" w:after="0"/>
        <w:jc w:val="both"/>
        <w:rPr>
          <w:rFonts w:ascii="Calibri" w:hAnsi="Calibri" w:cs="Calibri"/>
        </w:rPr>
      </w:pPr>
      <w:r w:rsidRPr="009B7488">
        <w:rPr>
          <w:rFonts w:ascii="Calibri" w:hAnsi="Calibri" w:cs="Calibri"/>
        </w:rPr>
        <w:t>L’URSSAF met à disposition </w:t>
      </w:r>
      <w:hyperlink r:id="rId14" w:history="1">
        <w:r w:rsidRPr="009B7488">
          <w:rPr>
            <w:rStyle w:val="Lienhypertexte"/>
            <w:rFonts w:ascii="Calibri" w:hAnsi="Calibri" w:cs="Calibri"/>
            <w:b/>
            <w:bCs/>
          </w:rPr>
          <w:t>un simulateur</w:t>
        </w:r>
      </w:hyperlink>
      <w:r w:rsidRPr="009B7488">
        <w:rPr>
          <w:rFonts w:ascii="Calibri" w:hAnsi="Calibri" w:cs="Calibri"/>
        </w:rPr>
        <w:t> pour calculer le montant des cotisations sociales dues (utile afin d’estimer le montant des cotisations sociales à provisionner).</w:t>
      </w:r>
    </w:p>
    <w:p w14:paraId="59A9D295" w14:textId="77777777" w:rsidR="009B7488" w:rsidRPr="009B7488" w:rsidRDefault="009B7488" w:rsidP="009B7488">
      <w:pPr>
        <w:pStyle w:val="NormalWeb"/>
        <w:numPr>
          <w:ilvl w:val="0"/>
          <w:numId w:val="11"/>
        </w:numPr>
        <w:spacing w:before="0" w:after="0"/>
        <w:jc w:val="both"/>
        <w:rPr>
          <w:rFonts w:ascii="Calibri" w:hAnsi="Calibri" w:cs="Calibri"/>
        </w:rPr>
      </w:pPr>
      <w:r w:rsidRPr="009B7488">
        <w:rPr>
          <w:rFonts w:ascii="Calibri" w:hAnsi="Calibri" w:cs="Calibri"/>
        </w:rPr>
        <w:t>Le site de la </w:t>
      </w:r>
      <w:hyperlink r:id="rId15" w:history="1">
        <w:r w:rsidRPr="009B7488">
          <w:rPr>
            <w:rStyle w:val="Lienhypertexte"/>
            <w:rFonts w:ascii="Calibri" w:hAnsi="Calibri" w:cs="Calibri"/>
            <w:b/>
            <w:bCs/>
          </w:rPr>
          <w:t>Sécurité sociale des artistes auteurs</w:t>
        </w:r>
      </w:hyperlink>
      <w:r w:rsidRPr="009B7488">
        <w:rPr>
          <w:rFonts w:ascii="Calibri" w:hAnsi="Calibri" w:cs="Calibri"/>
        </w:rPr>
        <w:t>.</w:t>
      </w:r>
    </w:p>
    <w:p w14:paraId="63007C29" w14:textId="77777777" w:rsidR="009B7488" w:rsidRPr="009B7488" w:rsidRDefault="009B7488" w:rsidP="009B7488">
      <w:pPr>
        <w:pStyle w:val="NormalWeb"/>
        <w:numPr>
          <w:ilvl w:val="0"/>
          <w:numId w:val="11"/>
        </w:numPr>
        <w:spacing w:before="0" w:after="0"/>
        <w:jc w:val="both"/>
        <w:rPr>
          <w:rFonts w:ascii="Calibri" w:hAnsi="Calibri" w:cs="Calibri"/>
        </w:rPr>
      </w:pPr>
      <w:r w:rsidRPr="009B7488">
        <w:rPr>
          <w:rFonts w:ascii="Calibri" w:hAnsi="Calibri" w:cs="Calibri"/>
        </w:rPr>
        <w:t>La Charte met à votre disposition </w:t>
      </w:r>
      <w:hyperlink r:id="rId16" w:history="1">
        <w:r w:rsidRPr="009B7488">
          <w:rPr>
            <w:rStyle w:val="Lienhypertexte"/>
            <w:rFonts w:ascii="Calibri" w:hAnsi="Calibri" w:cs="Calibri"/>
            <w:b/>
            <w:bCs/>
          </w:rPr>
          <w:t>son outil magique </w:t>
        </w:r>
      </w:hyperlink>
      <w:r w:rsidRPr="009B7488">
        <w:rPr>
          <w:rFonts w:ascii="Calibri" w:hAnsi="Calibri" w:cs="Calibri"/>
        </w:rPr>
        <w:t>pour calculer les cotisations sociales (cet outil sert dorénavant à contrôler les précomptes effectués par vos éditeurs et vos organismes de gestion collective, donc uniquement pour les droits d’auteur déclarés en Traitements et salaires. Il ne doit plus être utilisé pour les rencontres qui relèvent des BNC).</w:t>
      </w:r>
    </w:p>
    <w:p w14:paraId="24A82F86" w14:textId="77777777" w:rsidR="009B7488" w:rsidRPr="009B7488" w:rsidRDefault="009B7488" w:rsidP="009B7488">
      <w:pPr>
        <w:pStyle w:val="NormalWeb"/>
        <w:numPr>
          <w:ilvl w:val="0"/>
          <w:numId w:val="11"/>
        </w:numPr>
        <w:spacing w:before="0" w:after="0"/>
        <w:jc w:val="both"/>
        <w:rPr>
          <w:rFonts w:ascii="Calibri" w:hAnsi="Calibri" w:cs="Calibri"/>
        </w:rPr>
      </w:pPr>
      <w:hyperlink r:id="rId17" w:history="1">
        <w:r w:rsidRPr="009B7488">
          <w:rPr>
            <w:rStyle w:val="Lienhypertexte"/>
            <w:rFonts w:ascii="Calibri" w:hAnsi="Calibri" w:cs="Calibri"/>
            <w:b/>
            <w:bCs/>
          </w:rPr>
          <w:t>Modèles de factures</w:t>
        </w:r>
      </w:hyperlink>
      <w:r w:rsidRPr="009B7488">
        <w:rPr>
          <w:rFonts w:ascii="Calibri" w:hAnsi="Calibri" w:cs="Calibri"/>
        </w:rPr>
        <w:t> à télécharger.</w:t>
      </w:r>
    </w:p>
    <w:p w14:paraId="63340078" w14:textId="77777777" w:rsidR="009B7488" w:rsidRPr="009B7488" w:rsidRDefault="009B7488" w:rsidP="009B7488">
      <w:pPr>
        <w:pStyle w:val="NormalWeb"/>
        <w:numPr>
          <w:ilvl w:val="0"/>
          <w:numId w:val="11"/>
        </w:numPr>
        <w:spacing w:before="0" w:after="0"/>
        <w:jc w:val="both"/>
        <w:rPr>
          <w:rFonts w:ascii="Calibri" w:hAnsi="Calibri" w:cs="Calibri"/>
        </w:rPr>
      </w:pPr>
      <w:hyperlink r:id="rId18" w:history="1">
        <w:r w:rsidRPr="009B7488">
          <w:rPr>
            <w:rStyle w:val="Lienhypertexte"/>
            <w:rFonts w:ascii="Calibri" w:hAnsi="Calibri" w:cs="Calibri"/>
            <w:b/>
            <w:bCs/>
          </w:rPr>
          <w:t>Modèle de convention</w:t>
        </w:r>
      </w:hyperlink>
      <w:r w:rsidRPr="009B7488">
        <w:rPr>
          <w:rFonts w:ascii="Calibri" w:hAnsi="Calibri" w:cs="Calibri"/>
        </w:rPr>
        <w:t> à signer entre le diffuseur et l’</w:t>
      </w:r>
      <w:proofErr w:type="spellStart"/>
      <w:r w:rsidRPr="009B7488">
        <w:rPr>
          <w:rFonts w:ascii="Calibri" w:hAnsi="Calibri" w:cs="Calibri"/>
        </w:rPr>
        <w:t>auteur·ice</w:t>
      </w:r>
      <w:proofErr w:type="spellEnd"/>
      <w:r w:rsidRPr="009B7488">
        <w:rPr>
          <w:rFonts w:ascii="Calibri" w:hAnsi="Calibri" w:cs="Calibri"/>
        </w:rPr>
        <w:t>.</w:t>
      </w:r>
    </w:p>
    <w:p w14:paraId="5D02DECC" w14:textId="77777777" w:rsidR="009B7488" w:rsidRPr="009B7488" w:rsidRDefault="009B7488" w:rsidP="009B7488">
      <w:pPr>
        <w:pStyle w:val="NormalWeb"/>
        <w:spacing w:after="0"/>
        <w:jc w:val="both"/>
        <w:rPr>
          <w:rFonts w:ascii="Calibri" w:hAnsi="Calibri" w:cs="Calibri"/>
        </w:rPr>
      </w:pPr>
      <w:r w:rsidRPr="009B7488">
        <w:rPr>
          <w:rFonts w:ascii="Calibri" w:hAnsi="Calibri" w:cs="Calibri"/>
        </w:rPr>
        <w:lastRenderedPageBreak/>
        <w:t>Pour contacter l’URSSAF :</w:t>
      </w:r>
    </w:p>
    <w:p w14:paraId="522A24D4" w14:textId="77777777" w:rsidR="009B7488" w:rsidRPr="009B7488" w:rsidRDefault="009B7488" w:rsidP="009B7488">
      <w:pPr>
        <w:pStyle w:val="NormalWeb"/>
        <w:numPr>
          <w:ilvl w:val="0"/>
          <w:numId w:val="12"/>
        </w:numPr>
        <w:spacing w:before="0" w:after="0"/>
        <w:jc w:val="both"/>
        <w:rPr>
          <w:rFonts w:ascii="Calibri" w:hAnsi="Calibri" w:cs="Calibri"/>
        </w:rPr>
      </w:pPr>
      <w:r w:rsidRPr="009B7488">
        <w:rPr>
          <w:rFonts w:ascii="Calibri" w:hAnsi="Calibri" w:cs="Calibri"/>
        </w:rPr>
        <w:t>Rendez-vous sur le site </w:t>
      </w:r>
      <w:hyperlink r:id="rId19" w:history="1">
        <w:r w:rsidRPr="009B7488">
          <w:rPr>
            <w:rStyle w:val="Lienhypertexte"/>
            <w:rFonts w:ascii="Calibri" w:hAnsi="Calibri" w:cs="Calibri"/>
          </w:rPr>
          <w:t>www.artistes-auteurs.urssaf.fr</w:t>
        </w:r>
      </w:hyperlink>
      <w:r w:rsidRPr="009B7488">
        <w:rPr>
          <w:rFonts w:ascii="Calibri" w:hAnsi="Calibri" w:cs="Calibri"/>
        </w:rPr>
        <w:t> </w:t>
      </w:r>
    </w:p>
    <w:p w14:paraId="4A5E3744" w14:textId="4659BAF3" w:rsidR="00F10747" w:rsidRDefault="009B7488" w:rsidP="009B7488">
      <w:pPr>
        <w:pStyle w:val="NormalWeb"/>
        <w:numPr>
          <w:ilvl w:val="0"/>
          <w:numId w:val="12"/>
        </w:numPr>
        <w:spacing w:before="0" w:after="0"/>
        <w:jc w:val="both"/>
        <w:rPr>
          <w:rFonts w:ascii="Calibri" w:hAnsi="Calibri" w:cs="Calibri"/>
        </w:rPr>
      </w:pPr>
      <w:r w:rsidRPr="009B7488">
        <w:rPr>
          <w:rFonts w:ascii="Calibri" w:hAnsi="Calibri" w:cs="Calibri"/>
        </w:rPr>
        <w:t>Au 0806 804 208 (prix d’un appel local)</w:t>
      </w:r>
    </w:p>
    <w:p w14:paraId="0D04EC60" w14:textId="77777777" w:rsidR="009B7488" w:rsidRPr="009B7488" w:rsidRDefault="009B7488" w:rsidP="007E127D">
      <w:pPr>
        <w:pStyle w:val="NormalWeb"/>
        <w:spacing w:before="0" w:after="0"/>
        <w:ind w:left="720"/>
        <w:jc w:val="both"/>
        <w:rPr>
          <w:rFonts w:ascii="Calibri" w:hAnsi="Calibri" w:cs="Calibri"/>
        </w:rPr>
      </w:pPr>
    </w:p>
    <w:p w14:paraId="16BB1196" w14:textId="0D177C52" w:rsidR="00936465" w:rsidRDefault="00936465">
      <w:pPr>
        <w:pStyle w:val="Titre3"/>
        <w:jc w:val="left"/>
      </w:pPr>
      <w:r>
        <w:t>Journée complète 202</w:t>
      </w:r>
      <w:r w:rsidR="007E127D">
        <w:t>6</w:t>
      </w:r>
      <w:r w:rsidR="00F10747">
        <w:t xml:space="preserve"> (3 rencontres maximum)</w:t>
      </w:r>
      <w:r>
        <w:t xml:space="preserve"> : </w:t>
      </w:r>
      <w:r w:rsidR="007E127D">
        <w:t>514.64</w:t>
      </w:r>
      <w:r>
        <w:t> € brut</w:t>
      </w:r>
    </w:p>
    <w:p w14:paraId="219E586C" w14:textId="77777777" w:rsidR="00936465" w:rsidRDefault="00936465"/>
    <w:tbl>
      <w:tblPr>
        <w:tblW w:w="5403" w:type="dxa"/>
        <w:tblBorders>
          <w:bottom w:val="single" w:sz="6" w:space="0" w:color="EBE285"/>
          <w:right w:val="single" w:sz="6" w:space="0" w:color="EBE285"/>
        </w:tblBorders>
        <w:shd w:val="clear" w:color="auto" w:fill="FFFFFF"/>
        <w:tblCellMar>
          <w:top w:w="15" w:type="dxa"/>
          <w:left w:w="15" w:type="dxa"/>
          <w:bottom w:w="15" w:type="dxa"/>
          <w:right w:w="15" w:type="dxa"/>
        </w:tblCellMar>
        <w:tblLook w:val="04A0" w:firstRow="1" w:lastRow="0" w:firstColumn="1" w:lastColumn="0" w:noHBand="0" w:noVBand="1"/>
      </w:tblPr>
      <w:tblGrid>
        <w:gridCol w:w="4427"/>
        <w:gridCol w:w="976"/>
      </w:tblGrid>
      <w:tr w:rsidR="009B7488" w:rsidRPr="009B7488" w14:paraId="419E3A4E" w14:textId="77777777">
        <w:tc>
          <w:tcPr>
            <w:tcW w:w="0" w:type="auto"/>
            <w:tcBorders>
              <w:top w:val="single" w:sz="6" w:space="0" w:color="FFFFFF"/>
              <w:left w:val="single" w:sz="6" w:space="0" w:color="EBE285"/>
            </w:tcBorders>
            <w:shd w:val="clear" w:color="auto" w:fill="F5F0C4"/>
            <w:vAlign w:val="bottom"/>
            <w:hideMark/>
          </w:tcPr>
          <w:p w14:paraId="118A5775" w14:textId="77777777" w:rsidR="009B7488" w:rsidRPr="009B7488" w:rsidRDefault="009B7488" w:rsidP="009B7488">
            <w:pPr>
              <w:pStyle w:val="Corpsdetexte"/>
              <w:tabs>
                <w:tab w:val="left" w:pos="0"/>
              </w:tabs>
              <w:spacing w:after="280"/>
              <w:jc w:val="both"/>
              <w:rPr>
                <w:b/>
                <w:bCs/>
              </w:rPr>
            </w:pPr>
            <w:r w:rsidRPr="009B7488">
              <w:rPr>
                <w:b/>
                <w:bCs/>
              </w:rPr>
              <w:t>Brut HT</w:t>
            </w:r>
            <w:r w:rsidRPr="009B7488">
              <w:rPr>
                <w:i/>
                <w:iCs/>
              </w:rPr>
              <w:t> (à déclarer)</w:t>
            </w:r>
          </w:p>
        </w:tc>
        <w:tc>
          <w:tcPr>
            <w:tcW w:w="0" w:type="auto"/>
            <w:tcBorders>
              <w:top w:val="single" w:sz="6" w:space="0" w:color="EBE285"/>
              <w:left w:val="single" w:sz="6" w:space="0" w:color="EBE285"/>
            </w:tcBorders>
            <w:shd w:val="clear" w:color="auto" w:fill="FFFFFF"/>
            <w:vAlign w:val="bottom"/>
            <w:hideMark/>
          </w:tcPr>
          <w:p w14:paraId="0349CF31" w14:textId="77777777" w:rsidR="009B7488" w:rsidRPr="009B7488" w:rsidRDefault="009B7488" w:rsidP="009B7488">
            <w:pPr>
              <w:pStyle w:val="Corpsdetexte"/>
              <w:tabs>
                <w:tab w:val="left" w:pos="0"/>
              </w:tabs>
              <w:spacing w:after="280"/>
              <w:jc w:val="both"/>
              <w:rPr>
                <w:b/>
                <w:bCs/>
              </w:rPr>
            </w:pPr>
            <w:r w:rsidRPr="009B7488">
              <w:rPr>
                <w:b/>
                <w:bCs/>
              </w:rPr>
              <w:t>514,64</w:t>
            </w:r>
          </w:p>
        </w:tc>
      </w:tr>
      <w:tr w:rsidR="009B7488" w:rsidRPr="009B7488" w14:paraId="3C16C89D" w14:textId="77777777">
        <w:tc>
          <w:tcPr>
            <w:tcW w:w="0" w:type="auto"/>
            <w:tcBorders>
              <w:top w:val="single" w:sz="6" w:space="0" w:color="FFFFFF"/>
              <w:left w:val="single" w:sz="6" w:space="0" w:color="EBE285"/>
              <w:bottom w:val="single" w:sz="12" w:space="0" w:color="EBE285"/>
            </w:tcBorders>
            <w:shd w:val="clear" w:color="auto" w:fill="F5F0C4"/>
            <w:vAlign w:val="bottom"/>
            <w:hideMark/>
          </w:tcPr>
          <w:p w14:paraId="6E2FA252" w14:textId="77777777" w:rsidR="009B7488" w:rsidRPr="009B7488" w:rsidRDefault="009B7488" w:rsidP="009B7488">
            <w:pPr>
              <w:pStyle w:val="Corpsdetexte"/>
              <w:tabs>
                <w:tab w:val="left" w:pos="0"/>
              </w:tabs>
              <w:spacing w:after="280"/>
              <w:jc w:val="both"/>
              <w:rPr>
                <w:b/>
                <w:bCs/>
              </w:rPr>
            </w:pPr>
            <w:r w:rsidRPr="009B7488">
              <w:rPr>
                <w:b/>
                <w:bCs/>
              </w:rPr>
              <w:t>Imposable</w:t>
            </w:r>
            <w:r w:rsidRPr="009B7488">
              <w:rPr>
                <w:i/>
                <w:iCs/>
              </w:rPr>
              <w:t> (pour info)</w:t>
            </w:r>
          </w:p>
        </w:tc>
        <w:tc>
          <w:tcPr>
            <w:tcW w:w="0" w:type="auto"/>
            <w:tcBorders>
              <w:top w:val="single" w:sz="6" w:space="0" w:color="EBE285"/>
              <w:left w:val="single" w:sz="6" w:space="0" w:color="EBE285"/>
              <w:bottom w:val="single" w:sz="12" w:space="0" w:color="EBE285"/>
            </w:tcBorders>
            <w:shd w:val="clear" w:color="auto" w:fill="FFFFFF"/>
            <w:vAlign w:val="bottom"/>
            <w:hideMark/>
          </w:tcPr>
          <w:p w14:paraId="3473086B" w14:textId="77777777" w:rsidR="009B7488" w:rsidRPr="009B7488" w:rsidRDefault="009B7488" w:rsidP="009B7488">
            <w:pPr>
              <w:pStyle w:val="Corpsdetexte"/>
              <w:tabs>
                <w:tab w:val="left" w:pos="0"/>
              </w:tabs>
              <w:spacing w:after="280"/>
              <w:jc w:val="both"/>
            </w:pPr>
            <w:r w:rsidRPr="009B7488">
              <w:t>339,66</w:t>
            </w:r>
          </w:p>
        </w:tc>
      </w:tr>
      <w:tr w:rsidR="009B7488" w:rsidRPr="009B7488" w14:paraId="10A69B7B" w14:textId="77777777">
        <w:tc>
          <w:tcPr>
            <w:tcW w:w="0" w:type="auto"/>
            <w:tcBorders>
              <w:top w:val="single" w:sz="6" w:space="0" w:color="FFFFFF"/>
              <w:left w:val="single" w:sz="6" w:space="0" w:color="EBE285"/>
            </w:tcBorders>
            <w:shd w:val="clear" w:color="auto" w:fill="F5F0C4"/>
            <w:vAlign w:val="bottom"/>
            <w:hideMark/>
          </w:tcPr>
          <w:p w14:paraId="511AFD69" w14:textId="77777777" w:rsidR="009B7488" w:rsidRPr="009B7488" w:rsidRDefault="009B7488" w:rsidP="009B7488">
            <w:pPr>
              <w:pStyle w:val="Corpsdetexte"/>
              <w:tabs>
                <w:tab w:val="left" w:pos="0"/>
              </w:tabs>
              <w:spacing w:after="280"/>
              <w:jc w:val="both"/>
              <w:rPr>
                <w:b/>
                <w:bCs/>
              </w:rPr>
            </w:pPr>
            <w:r w:rsidRPr="009B7488">
              <w:rPr>
                <w:b/>
                <w:bCs/>
              </w:rPr>
              <w:t>Assiette sociale</w:t>
            </w:r>
          </w:p>
        </w:tc>
        <w:tc>
          <w:tcPr>
            <w:tcW w:w="0" w:type="auto"/>
            <w:tcBorders>
              <w:top w:val="single" w:sz="6" w:space="0" w:color="EBE285"/>
              <w:left w:val="single" w:sz="6" w:space="0" w:color="EBE285"/>
            </w:tcBorders>
            <w:shd w:val="clear" w:color="auto" w:fill="FFFFFF"/>
            <w:vAlign w:val="bottom"/>
            <w:hideMark/>
          </w:tcPr>
          <w:p w14:paraId="13787ED6" w14:textId="77777777" w:rsidR="009B7488" w:rsidRPr="009B7488" w:rsidRDefault="009B7488" w:rsidP="009B7488">
            <w:pPr>
              <w:pStyle w:val="Corpsdetexte"/>
              <w:tabs>
                <w:tab w:val="left" w:pos="0"/>
              </w:tabs>
              <w:spacing w:after="280"/>
              <w:jc w:val="both"/>
            </w:pPr>
            <w:r w:rsidRPr="009B7488">
              <w:t>390,61</w:t>
            </w:r>
          </w:p>
        </w:tc>
      </w:tr>
      <w:tr w:rsidR="009B7488" w:rsidRPr="009B7488" w14:paraId="7109AFB1" w14:textId="77777777">
        <w:tc>
          <w:tcPr>
            <w:tcW w:w="0" w:type="auto"/>
            <w:tcBorders>
              <w:top w:val="single" w:sz="6" w:space="0" w:color="FFFFFF"/>
              <w:left w:val="single" w:sz="6" w:space="0" w:color="EBE285"/>
            </w:tcBorders>
            <w:shd w:val="clear" w:color="auto" w:fill="F5F0C4"/>
            <w:vAlign w:val="bottom"/>
            <w:hideMark/>
          </w:tcPr>
          <w:p w14:paraId="62A778F3" w14:textId="77777777" w:rsidR="009B7488" w:rsidRPr="009B7488" w:rsidRDefault="009B7488" w:rsidP="009B7488">
            <w:pPr>
              <w:pStyle w:val="Corpsdetexte"/>
              <w:tabs>
                <w:tab w:val="left" w:pos="0"/>
              </w:tabs>
              <w:spacing w:after="280"/>
              <w:jc w:val="both"/>
              <w:rPr>
                <w:b/>
                <w:bCs/>
              </w:rPr>
            </w:pPr>
            <w:r w:rsidRPr="009B7488">
              <w:rPr>
                <w:b/>
                <w:bCs/>
              </w:rPr>
              <w:t>Vieillesse plafonnée</w:t>
            </w:r>
          </w:p>
        </w:tc>
        <w:tc>
          <w:tcPr>
            <w:tcW w:w="0" w:type="auto"/>
            <w:tcBorders>
              <w:top w:val="single" w:sz="6" w:space="0" w:color="EBE285"/>
              <w:left w:val="single" w:sz="6" w:space="0" w:color="EBE285"/>
            </w:tcBorders>
            <w:shd w:val="clear" w:color="auto" w:fill="FFFFFF"/>
            <w:vAlign w:val="bottom"/>
            <w:hideMark/>
          </w:tcPr>
          <w:p w14:paraId="4DD7F61E" w14:textId="77777777" w:rsidR="009B7488" w:rsidRPr="009B7488" w:rsidRDefault="009B7488" w:rsidP="009B7488">
            <w:pPr>
              <w:pStyle w:val="Corpsdetexte"/>
              <w:tabs>
                <w:tab w:val="left" w:pos="0"/>
              </w:tabs>
              <w:spacing w:after="280"/>
              <w:jc w:val="both"/>
            </w:pPr>
            <w:r w:rsidRPr="009B7488">
              <w:t>24,02</w:t>
            </w:r>
          </w:p>
        </w:tc>
      </w:tr>
      <w:tr w:rsidR="009B7488" w:rsidRPr="009B7488" w14:paraId="65E3023B" w14:textId="77777777">
        <w:tc>
          <w:tcPr>
            <w:tcW w:w="0" w:type="auto"/>
            <w:tcBorders>
              <w:top w:val="single" w:sz="6" w:space="0" w:color="FFFFFF"/>
              <w:left w:val="single" w:sz="6" w:space="0" w:color="EBE285"/>
            </w:tcBorders>
            <w:shd w:val="clear" w:color="auto" w:fill="F5F0C4"/>
            <w:vAlign w:val="bottom"/>
            <w:hideMark/>
          </w:tcPr>
          <w:p w14:paraId="1BA60E7E" w14:textId="77777777" w:rsidR="009B7488" w:rsidRPr="009B7488" w:rsidRDefault="009B7488" w:rsidP="009B7488">
            <w:pPr>
              <w:pStyle w:val="Corpsdetexte"/>
              <w:tabs>
                <w:tab w:val="left" w:pos="0"/>
              </w:tabs>
              <w:spacing w:after="280"/>
              <w:jc w:val="both"/>
              <w:rPr>
                <w:b/>
                <w:bCs/>
              </w:rPr>
            </w:pPr>
            <w:r w:rsidRPr="009B7488">
              <w:rPr>
                <w:b/>
                <w:bCs/>
              </w:rPr>
              <w:t>CSG</w:t>
            </w:r>
          </w:p>
        </w:tc>
        <w:tc>
          <w:tcPr>
            <w:tcW w:w="0" w:type="auto"/>
            <w:tcBorders>
              <w:top w:val="single" w:sz="6" w:space="0" w:color="EBE285"/>
              <w:left w:val="single" w:sz="6" w:space="0" w:color="EBE285"/>
            </w:tcBorders>
            <w:shd w:val="clear" w:color="auto" w:fill="FFFFFF"/>
            <w:vAlign w:val="bottom"/>
            <w:hideMark/>
          </w:tcPr>
          <w:p w14:paraId="4C86AE8C" w14:textId="77777777" w:rsidR="009B7488" w:rsidRPr="009B7488" w:rsidRDefault="009B7488" w:rsidP="009B7488">
            <w:pPr>
              <w:pStyle w:val="Corpsdetexte"/>
              <w:tabs>
                <w:tab w:val="left" w:pos="0"/>
              </w:tabs>
              <w:spacing w:after="280"/>
              <w:jc w:val="both"/>
            </w:pPr>
            <w:r w:rsidRPr="009B7488">
              <w:t>35,94</w:t>
            </w:r>
          </w:p>
        </w:tc>
      </w:tr>
      <w:tr w:rsidR="009B7488" w:rsidRPr="009B7488" w14:paraId="74D1E22E" w14:textId="77777777">
        <w:tc>
          <w:tcPr>
            <w:tcW w:w="0" w:type="auto"/>
            <w:tcBorders>
              <w:top w:val="single" w:sz="6" w:space="0" w:color="FFFFFF"/>
              <w:left w:val="single" w:sz="6" w:space="0" w:color="EBE285"/>
            </w:tcBorders>
            <w:shd w:val="clear" w:color="auto" w:fill="F5F0C4"/>
            <w:vAlign w:val="bottom"/>
            <w:hideMark/>
          </w:tcPr>
          <w:p w14:paraId="50D97550" w14:textId="77777777" w:rsidR="009B7488" w:rsidRPr="009B7488" w:rsidRDefault="009B7488" w:rsidP="009B7488">
            <w:pPr>
              <w:pStyle w:val="Corpsdetexte"/>
              <w:tabs>
                <w:tab w:val="left" w:pos="0"/>
              </w:tabs>
              <w:spacing w:after="280"/>
              <w:jc w:val="both"/>
              <w:rPr>
                <w:b/>
                <w:bCs/>
              </w:rPr>
            </w:pPr>
            <w:r w:rsidRPr="009B7488">
              <w:rPr>
                <w:b/>
                <w:bCs/>
              </w:rPr>
              <w:t>CRDS</w:t>
            </w:r>
          </w:p>
        </w:tc>
        <w:tc>
          <w:tcPr>
            <w:tcW w:w="0" w:type="auto"/>
            <w:tcBorders>
              <w:top w:val="single" w:sz="6" w:space="0" w:color="EBE285"/>
              <w:left w:val="single" w:sz="6" w:space="0" w:color="EBE285"/>
            </w:tcBorders>
            <w:shd w:val="clear" w:color="auto" w:fill="FFFFFF"/>
            <w:vAlign w:val="bottom"/>
            <w:hideMark/>
          </w:tcPr>
          <w:p w14:paraId="41765CC6" w14:textId="77777777" w:rsidR="009B7488" w:rsidRPr="009B7488" w:rsidRDefault="009B7488" w:rsidP="009B7488">
            <w:pPr>
              <w:pStyle w:val="Corpsdetexte"/>
              <w:tabs>
                <w:tab w:val="left" w:pos="0"/>
              </w:tabs>
              <w:spacing w:after="280"/>
              <w:jc w:val="both"/>
            </w:pPr>
            <w:r w:rsidRPr="009B7488">
              <w:t>1,95</w:t>
            </w:r>
          </w:p>
        </w:tc>
      </w:tr>
      <w:tr w:rsidR="009B7488" w:rsidRPr="009B7488" w14:paraId="768C7203" w14:textId="77777777">
        <w:tc>
          <w:tcPr>
            <w:tcW w:w="0" w:type="auto"/>
            <w:tcBorders>
              <w:top w:val="single" w:sz="6" w:space="0" w:color="FFFFFF"/>
              <w:left w:val="single" w:sz="6" w:space="0" w:color="EBE285"/>
            </w:tcBorders>
            <w:shd w:val="clear" w:color="auto" w:fill="F5F0C4"/>
            <w:vAlign w:val="bottom"/>
            <w:hideMark/>
          </w:tcPr>
          <w:p w14:paraId="32DEFF24" w14:textId="77777777" w:rsidR="009B7488" w:rsidRPr="009B7488" w:rsidRDefault="009B7488" w:rsidP="009B7488">
            <w:pPr>
              <w:pStyle w:val="Corpsdetexte"/>
              <w:tabs>
                <w:tab w:val="left" w:pos="0"/>
              </w:tabs>
              <w:spacing w:after="280"/>
              <w:jc w:val="both"/>
              <w:rPr>
                <w:b/>
                <w:bCs/>
              </w:rPr>
            </w:pPr>
            <w:r w:rsidRPr="009B7488">
              <w:rPr>
                <w:b/>
                <w:bCs/>
              </w:rPr>
              <w:t>Formation</w:t>
            </w:r>
          </w:p>
        </w:tc>
        <w:tc>
          <w:tcPr>
            <w:tcW w:w="0" w:type="auto"/>
            <w:tcBorders>
              <w:top w:val="single" w:sz="6" w:space="0" w:color="EBE285"/>
              <w:left w:val="single" w:sz="6" w:space="0" w:color="EBE285"/>
            </w:tcBorders>
            <w:shd w:val="clear" w:color="auto" w:fill="FFFFFF"/>
            <w:vAlign w:val="bottom"/>
            <w:hideMark/>
          </w:tcPr>
          <w:p w14:paraId="2FEEC871" w14:textId="77777777" w:rsidR="009B7488" w:rsidRPr="009B7488" w:rsidRDefault="009B7488" w:rsidP="009B7488">
            <w:pPr>
              <w:pStyle w:val="Corpsdetexte"/>
              <w:tabs>
                <w:tab w:val="left" w:pos="0"/>
              </w:tabs>
              <w:spacing w:after="280"/>
              <w:jc w:val="both"/>
            </w:pPr>
            <w:r w:rsidRPr="009B7488">
              <w:t>1,37</w:t>
            </w:r>
          </w:p>
        </w:tc>
      </w:tr>
      <w:tr w:rsidR="009B7488" w:rsidRPr="009B7488" w14:paraId="4C8522F7" w14:textId="77777777">
        <w:tc>
          <w:tcPr>
            <w:tcW w:w="0" w:type="auto"/>
            <w:tcBorders>
              <w:top w:val="single" w:sz="6" w:space="0" w:color="FFFFFF"/>
              <w:left w:val="single" w:sz="6" w:space="0" w:color="EBE285"/>
              <w:bottom w:val="single" w:sz="12" w:space="0" w:color="EBE285"/>
            </w:tcBorders>
            <w:shd w:val="clear" w:color="auto" w:fill="F5F0C4"/>
            <w:vAlign w:val="bottom"/>
            <w:hideMark/>
          </w:tcPr>
          <w:p w14:paraId="04FECA90" w14:textId="77777777" w:rsidR="009B7488" w:rsidRPr="009B7488" w:rsidRDefault="009B7488" w:rsidP="009B7488">
            <w:pPr>
              <w:pStyle w:val="Corpsdetexte"/>
              <w:tabs>
                <w:tab w:val="left" w:pos="0"/>
              </w:tabs>
              <w:spacing w:after="280"/>
              <w:jc w:val="both"/>
              <w:rPr>
                <w:b/>
                <w:bCs/>
              </w:rPr>
            </w:pPr>
            <w:r w:rsidRPr="009B7488">
              <w:rPr>
                <w:b/>
                <w:bCs/>
              </w:rPr>
              <w:t>Total URSSAF</w:t>
            </w:r>
          </w:p>
        </w:tc>
        <w:tc>
          <w:tcPr>
            <w:tcW w:w="0" w:type="auto"/>
            <w:tcBorders>
              <w:top w:val="single" w:sz="6" w:space="0" w:color="EBE285"/>
              <w:left w:val="single" w:sz="6" w:space="0" w:color="EBE285"/>
              <w:bottom w:val="single" w:sz="12" w:space="0" w:color="EBE285"/>
            </w:tcBorders>
            <w:shd w:val="clear" w:color="auto" w:fill="FFFFFF"/>
            <w:vAlign w:val="bottom"/>
            <w:hideMark/>
          </w:tcPr>
          <w:p w14:paraId="3DADB853" w14:textId="77777777" w:rsidR="009B7488" w:rsidRPr="009B7488" w:rsidRDefault="009B7488" w:rsidP="009B7488">
            <w:pPr>
              <w:pStyle w:val="Corpsdetexte"/>
              <w:tabs>
                <w:tab w:val="left" w:pos="0"/>
              </w:tabs>
              <w:spacing w:after="280"/>
              <w:jc w:val="both"/>
              <w:rPr>
                <w:b/>
                <w:bCs/>
              </w:rPr>
            </w:pPr>
            <w:r w:rsidRPr="009B7488">
              <w:rPr>
                <w:b/>
                <w:bCs/>
              </w:rPr>
              <w:t>63,28</w:t>
            </w:r>
          </w:p>
        </w:tc>
      </w:tr>
      <w:tr w:rsidR="009B7488" w:rsidRPr="009B7488" w14:paraId="6E8F6832" w14:textId="77777777">
        <w:tc>
          <w:tcPr>
            <w:tcW w:w="0" w:type="auto"/>
            <w:tcBorders>
              <w:top w:val="single" w:sz="6" w:space="0" w:color="FFFFFF"/>
              <w:left w:val="single" w:sz="6" w:space="0" w:color="EBE285"/>
            </w:tcBorders>
            <w:shd w:val="clear" w:color="auto" w:fill="F5F0C4"/>
            <w:vAlign w:val="bottom"/>
            <w:hideMark/>
          </w:tcPr>
          <w:p w14:paraId="2A9B3D44" w14:textId="11BC5456" w:rsidR="009B7488" w:rsidRPr="009B7488" w:rsidRDefault="009B7488" w:rsidP="009B7488">
            <w:pPr>
              <w:pStyle w:val="Corpsdetexte"/>
              <w:tabs>
                <w:tab w:val="left" w:pos="0"/>
              </w:tabs>
              <w:spacing w:after="280"/>
              <w:jc w:val="both"/>
              <w:rPr>
                <w:b/>
                <w:bCs/>
              </w:rPr>
            </w:pPr>
            <w:r w:rsidRPr="009B7488">
              <w:rPr>
                <w:b/>
                <w:bCs/>
              </w:rPr>
              <w:t>Contribution diffuseur</w:t>
            </w:r>
            <w:r w:rsidR="007E127D">
              <w:rPr>
                <w:b/>
                <w:bCs/>
              </w:rPr>
              <w:t xml:space="preserve"> (1.1%)</w:t>
            </w:r>
          </w:p>
        </w:tc>
        <w:tc>
          <w:tcPr>
            <w:tcW w:w="0" w:type="auto"/>
            <w:tcBorders>
              <w:top w:val="single" w:sz="6" w:space="0" w:color="EBE285"/>
              <w:left w:val="single" w:sz="6" w:space="0" w:color="EBE285"/>
            </w:tcBorders>
            <w:shd w:val="clear" w:color="auto" w:fill="FFFFFF"/>
            <w:vAlign w:val="bottom"/>
            <w:hideMark/>
          </w:tcPr>
          <w:p w14:paraId="208A23E2" w14:textId="77777777" w:rsidR="009B7488" w:rsidRPr="009B7488" w:rsidRDefault="009B7488" w:rsidP="009B7488">
            <w:pPr>
              <w:pStyle w:val="Corpsdetexte"/>
              <w:tabs>
                <w:tab w:val="left" w:pos="0"/>
              </w:tabs>
              <w:spacing w:after="280"/>
              <w:jc w:val="both"/>
            </w:pPr>
            <w:r w:rsidRPr="009B7488">
              <w:t>5,15</w:t>
            </w:r>
          </w:p>
        </w:tc>
      </w:tr>
      <w:tr w:rsidR="009B7488" w:rsidRPr="009B7488" w14:paraId="21757C0F" w14:textId="77777777">
        <w:tc>
          <w:tcPr>
            <w:tcW w:w="0" w:type="auto"/>
            <w:tcBorders>
              <w:top w:val="single" w:sz="6" w:space="0" w:color="FFFFFF"/>
              <w:left w:val="single" w:sz="6" w:space="0" w:color="EBE285"/>
            </w:tcBorders>
            <w:shd w:val="clear" w:color="auto" w:fill="F5F0C4"/>
            <w:vAlign w:val="bottom"/>
            <w:hideMark/>
          </w:tcPr>
          <w:p w14:paraId="0E9D30DE" w14:textId="77777777" w:rsidR="009B7488" w:rsidRPr="009B7488" w:rsidRDefault="009B7488" w:rsidP="009B7488">
            <w:pPr>
              <w:pStyle w:val="Corpsdetexte"/>
              <w:tabs>
                <w:tab w:val="left" w:pos="0"/>
              </w:tabs>
              <w:spacing w:after="280"/>
              <w:jc w:val="both"/>
              <w:rPr>
                <w:b/>
                <w:bCs/>
              </w:rPr>
            </w:pPr>
            <w:r w:rsidRPr="009B7488">
              <w:rPr>
                <w:b/>
                <w:bCs/>
              </w:rPr>
              <w:t>Formation diffuseur</w:t>
            </w:r>
          </w:p>
        </w:tc>
        <w:tc>
          <w:tcPr>
            <w:tcW w:w="0" w:type="auto"/>
            <w:tcBorders>
              <w:top w:val="single" w:sz="6" w:space="0" w:color="EBE285"/>
              <w:left w:val="single" w:sz="6" w:space="0" w:color="EBE285"/>
            </w:tcBorders>
            <w:shd w:val="clear" w:color="auto" w:fill="FFFFFF"/>
            <w:vAlign w:val="bottom"/>
            <w:hideMark/>
          </w:tcPr>
          <w:p w14:paraId="3F685AF0" w14:textId="77777777" w:rsidR="009B7488" w:rsidRPr="009B7488" w:rsidRDefault="009B7488" w:rsidP="009B7488">
            <w:pPr>
              <w:pStyle w:val="Corpsdetexte"/>
              <w:tabs>
                <w:tab w:val="left" w:pos="0"/>
              </w:tabs>
              <w:spacing w:after="280"/>
              <w:jc w:val="both"/>
            </w:pPr>
            <w:r w:rsidRPr="009B7488">
              <w:t>0,51</w:t>
            </w:r>
          </w:p>
        </w:tc>
      </w:tr>
      <w:tr w:rsidR="009B7488" w:rsidRPr="009B7488" w14:paraId="6BE21FE1" w14:textId="77777777">
        <w:tc>
          <w:tcPr>
            <w:tcW w:w="0" w:type="auto"/>
            <w:tcBorders>
              <w:top w:val="single" w:sz="6" w:space="0" w:color="FFFFFF"/>
              <w:left w:val="single" w:sz="6" w:space="0" w:color="EBE285"/>
              <w:bottom w:val="single" w:sz="12" w:space="0" w:color="EBE285"/>
            </w:tcBorders>
            <w:shd w:val="clear" w:color="auto" w:fill="F5F0C4"/>
            <w:vAlign w:val="bottom"/>
            <w:hideMark/>
          </w:tcPr>
          <w:p w14:paraId="3325213E" w14:textId="77777777" w:rsidR="009B7488" w:rsidRPr="009B7488" w:rsidRDefault="009B7488" w:rsidP="009B7488">
            <w:pPr>
              <w:pStyle w:val="Corpsdetexte"/>
              <w:tabs>
                <w:tab w:val="left" w:pos="0"/>
              </w:tabs>
              <w:spacing w:after="280"/>
              <w:jc w:val="both"/>
              <w:rPr>
                <w:b/>
                <w:bCs/>
              </w:rPr>
            </w:pPr>
            <w:r w:rsidRPr="009B7488">
              <w:rPr>
                <w:b/>
                <w:bCs/>
              </w:rPr>
              <w:t>Total diffuseur</w:t>
            </w:r>
          </w:p>
        </w:tc>
        <w:tc>
          <w:tcPr>
            <w:tcW w:w="0" w:type="auto"/>
            <w:tcBorders>
              <w:top w:val="single" w:sz="6" w:space="0" w:color="EBE285"/>
              <w:left w:val="single" w:sz="6" w:space="0" w:color="EBE285"/>
              <w:bottom w:val="single" w:sz="12" w:space="0" w:color="EBE285"/>
            </w:tcBorders>
            <w:shd w:val="clear" w:color="auto" w:fill="FFFFFF"/>
            <w:vAlign w:val="bottom"/>
            <w:hideMark/>
          </w:tcPr>
          <w:p w14:paraId="3279208A" w14:textId="77777777" w:rsidR="009B7488" w:rsidRPr="009B7488" w:rsidRDefault="009B7488" w:rsidP="009B7488">
            <w:pPr>
              <w:pStyle w:val="Corpsdetexte"/>
              <w:tabs>
                <w:tab w:val="left" w:pos="0"/>
              </w:tabs>
              <w:spacing w:after="280"/>
              <w:jc w:val="both"/>
              <w:rPr>
                <w:b/>
                <w:bCs/>
              </w:rPr>
            </w:pPr>
            <w:r w:rsidRPr="009B7488">
              <w:rPr>
                <w:b/>
                <w:bCs/>
              </w:rPr>
              <w:t>5,66</w:t>
            </w:r>
          </w:p>
        </w:tc>
      </w:tr>
    </w:tbl>
    <w:p w14:paraId="1E0893F4" w14:textId="77777777" w:rsidR="009B7488" w:rsidRPr="009B7488" w:rsidRDefault="009B7488" w:rsidP="009B7488">
      <w:pPr>
        <w:pStyle w:val="Corpsdetexte"/>
        <w:tabs>
          <w:tab w:val="left" w:pos="0"/>
        </w:tabs>
        <w:spacing w:after="280"/>
        <w:jc w:val="both"/>
      </w:pPr>
    </w:p>
    <w:p w14:paraId="7B41AFE0" w14:textId="65E1AF22" w:rsidR="00936465" w:rsidRDefault="00936465">
      <w:pPr>
        <w:pStyle w:val="Corpsdetexte"/>
        <w:numPr>
          <w:ilvl w:val="0"/>
          <w:numId w:val="4"/>
        </w:numPr>
        <w:tabs>
          <w:tab w:val="left" w:pos="0"/>
        </w:tabs>
        <w:spacing w:after="280"/>
        <w:jc w:val="both"/>
      </w:pPr>
      <w:r>
        <w:rPr>
          <w:rFonts w:ascii="Calibri" w:hAnsi="Calibri" w:cs="Calibri"/>
        </w:rPr>
        <w:t>Si les droits ne sont pas soumis à TVA, déclarer au fisc le </w:t>
      </w:r>
      <w:r>
        <w:rPr>
          <w:rStyle w:val="lev"/>
          <w:rFonts w:ascii="Calibri" w:hAnsi="Calibri" w:cs="Calibri"/>
          <w:color w:val="07438A"/>
        </w:rPr>
        <w:t>net auteur hors TVA, imposable</w:t>
      </w:r>
      <w:r>
        <w:rPr>
          <w:rFonts w:ascii="Calibri" w:hAnsi="Calibri" w:cs="Calibri"/>
          <w:color w:val="888888"/>
        </w:rPr>
        <w:t>.</w:t>
      </w:r>
    </w:p>
    <w:p w14:paraId="22052986" w14:textId="77777777" w:rsidR="00936465" w:rsidRDefault="00936465">
      <w:pPr>
        <w:pStyle w:val="Corpsdetexte"/>
        <w:numPr>
          <w:ilvl w:val="0"/>
          <w:numId w:val="4"/>
        </w:numPr>
        <w:pBdr>
          <w:top w:val="none" w:sz="0" w:space="0" w:color="000000"/>
          <w:left w:val="none" w:sz="0" w:space="0" w:color="000000"/>
          <w:bottom w:val="none" w:sz="0" w:space="0" w:color="000000"/>
          <w:right w:val="none" w:sz="0" w:space="0" w:color="000000"/>
        </w:pBdr>
        <w:tabs>
          <w:tab w:val="left" w:pos="0"/>
        </w:tabs>
        <w:spacing w:after="0"/>
        <w:jc w:val="both"/>
      </w:pPr>
      <w:r>
        <w:rPr>
          <w:rFonts w:ascii="Calibri" w:hAnsi="Calibri" w:cs="Calibri"/>
        </w:rPr>
        <w:t xml:space="preserve"> Dans le cas contraire, si les droits sont versés par un tiers effectuant la retenue de TVA à la source pour le compte de l’auteur — typiquement un éditeur —, il faut ajouter au total imposable la fraction non déductible de cette TVA, déclarez alors au fisc le</w:t>
      </w:r>
      <w:r>
        <w:rPr>
          <w:rFonts w:ascii="Source Sans Pro" w:hAnsi="Source Sans Pro"/>
          <w:color w:val="888888"/>
          <w:sz w:val="26"/>
        </w:rPr>
        <w:t> </w:t>
      </w:r>
      <w:r>
        <w:rPr>
          <w:rStyle w:val="lev"/>
          <w:rFonts w:ascii="Calibri" w:hAnsi="Calibri"/>
          <w:color w:val="800080"/>
        </w:rPr>
        <w:t>total TTC</w:t>
      </w:r>
      <w:r>
        <w:rPr>
          <w:rFonts w:ascii="Source Sans Pro" w:hAnsi="Source Sans Pro"/>
          <w:color w:val="888888"/>
          <w:sz w:val="26"/>
        </w:rPr>
        <w:t>.</w:t>
      </w:r>
    </w:p>
    <w:p w14:paraId="3B16CAFA" w14:textId="77777777" w:rsidR="00936465" w:rsidRDefault="00936465">
      <w:pPr>
        <w:pStyle w:val="Corpsdetexte"/>
        <w:pBdr>
          <w:top w:val="none" w:sz="0" w:space="0" w:color="000000"/>
          <w:left w:val="none" w:sz="0" w:space="0" w:color="000000"/>
          <w:bottom w:val="none" w:sz="0" w:space="0" w:color="000000"/>
          <w:right w:val="none" w:sz="0" w:space="0" w:color="000000"/>
        </w:pBdr>
        <w:spacing w:after="0"/>
        <w:jc w:val="both"/>
        <w:rPr>
          <w:rFonts w:ascii="Source Sans Pro" w:hAnsi="Source Sans Pro" w:cs="Calibri"/>
          <w:color w:val="888888"/>
          <w:sz w:val="26"/>
        </w:rPr>
      </w:pPr>
    </w:p>
    <w:p w14:paraId="7475B5BB" w14:textId="649584D8" w:rsidR="00936465" w:rsidRPr="00F10747" w:rsidRDefault="00936465">
      <w:pPr>
        <w:pStyle w:val="Corpsdetexte"/>
        <w:numPr>
          <w:ilvl w:val="0"/>
          <w:numId w:val="4"/>
        </w:numPr>
        <w:pBdr>
          <w:top w:val="none" w:sz="0" w:space="0" w:color="000000"/>
          <w:left w:val="none" w:sz="0" w:space="0" w:color="000000"/>
          <w:bottom w:val="none" w:sz="0" w:space="0" w:color="000000"/>
          <w:right w:val="none" w:sz="0" w:space="0" w:color="000000"/>
        </w:pBdr>
        <w:tabs>
          <w:tab w:val="left" w:pos="0"/>
        </w:tabs>
        <w:spacing w:after="0"/>
        <w:jc w:val="both"/>
      </w:pPr>
      <w:r>
        <w:rPr>
          <w:rFonts w:ascii="Calibri" w:hAnsi="Calibri" w:cs="Calibri"/>
        </w:rPr>
        <w:t xml:space="preserve"> En outre, l’organisateur verse une participation de 1,1 % de la rémunération brute, au titre de la contribution Diffuseur :</w:t>
      </w:r>
      <w:r w:rsidR="0053696B">
        <w:rPr>
          <w:rFonts w:ascii="Calibri" w:hAnsi="Calibri" w:cs="Calibri"/>
        </w:rPr>
        <w:t xml:space="preserve"> </w:t>
      </w:r>
      <w:r w:rsidR="00CB56EB">
        <w:rPr>
          <w:rFonts w:ascii="Calibri" w:hAnsi="Calibri" w:cs="Calibri"/>
        </w:rPr>
        <w:t>5,</w:t>
      </w:r>
      <w:r w:rsidR="00732170">
        <w:rPr>
          <w:rFonts w:ascii="Calibri" w:hAnsi="Calibri" w:cs="Calibri"/>
        </w:rPr>
        <w:t>6</w:t>
      </w:r>
      <w:r w:rsidR="007E127D">
        <w:rPr>
          <w:rFonts w:ascii="Calibri" w:hAnsi="Calibri" w:cs="Calibri"/>
        </w:rPr>
        <w:t>6</w:t>
      </w:r>
      <w:r>
        <w:rPr>
          <w:rFonts w:ascii="Calibri" w:hAnsi="Calibri" w:cs="Calibri"/>
        </w:rPr>
        <w:t xml:space="preserve"> €.</w:t>
      </w:r>
    </w:p>
    <w:p w14:paraId="059EB23A" w14:textId="77777777" w:rsidR="00F10747" w:rsidRDefault="00F10747" w:rsidP="00F10747">
      <w:pPr>
        <w:pStyle w:val="Paragraphedeliste"/>
      </w:pPr>
    </w:p>
    <w:p w14:paraId="62C9A9C3" w14:textId="77777777" w:rsidR="00936465" w:rsidRDefault="00936465">
      <w:pPr>
        <w:pStyle w:val="Corpsdetexte"/>
        <w:pBdr>
          <w:top w:val="none" w:sz="0" w:space="0" w:color="000000"/>
          <w:left w:val="none" w:sz="0" w:space="0" w:color="000000"/>
          <w:bottom w:val="none" w:sz="0" w:space="0" w:color="000000"/>
          <w:right w:val="none" w:sz="0" w:space="0" w:color="000000"/>
        </w:pBdr>
        <w:spacing w:after="0"/>
        <w:jc w:val="both"/>
        <w:rPr>
          <w:rFonts w:ascii="Calibri" w:hAnsi="Calibri" w:cs="Calibri"/>
        </w:rPr>
      </w:pPr>
    </w:p>
    <w:p w14:paraId="6D828E28" w14:textId="28B50A2C" w:rsidR="00936465" w:rsidRDefault="00936465">
      <w:pPr>
        <w:pStyle w:val="Titre3"/>
        <w:jc w:val="left"/>
      </w:pPr>
      <w:r>
        <w:lastRenderedPageBreak/>
        <w:t>Demi-journée 202</w:t>
      </w:r>
      <w:r w:rsidR="007E127D">
        <w:t>6</w:t>
      </w:r>
      <w:r w:rsidR="00F10747">
        <w:t xml:space="preserve"> (2 rencontres maximum)</w:t>
      </w:r>
      <w:r>
        <w:t xml:space="preserve"> : </w:t>
      </w:r>
      <w:r w:rsidR="007E127D">
        <w:t>310.47</w:t>
      </w:r>
      <w:r>
        <w:t xml:space="preserve"> € brut</w:t>
      </w:r>
    </w:p>
    <w:p w14:paraId="44947916" w14:textId="77777777" w:rsidR="00936465" w:rsidRDefault="00936465">
      <w:pPr>
        <w:rPr>
          <w:rFonts w:ascii="Calibri" w:hAnsi="Calibri" w:cs="Calibri"/>
          <w:b/>
          <w:bCs/>
        </w:rPr>
      </w:pPr>
    </w:p>
    <w:p w14:paraId="0EF611D8" w14:textId="77777777" w:rsidR="00936465" w:rsidRDefault="00936465">
      <w:pPr>
        <w:pStyle w:val="NormalWeb"/>
        <w:spacing w:before="0" w:after="0"/>
      </w:pPr>
    </w:p>
    <w:tbl>
      <w:tblPr>
        <w:tblW w:w="5403" w:type="dxa"/>
        <w:tblBorders>
          <w:bottom w:val="single" w:sz="6" w:space="0" w:color="EBE285"/>
          <w:right w:val="single" w:sz="6" w:space="0" w:color="EBE285"/>
        </w:tblBorders>
        <w:shd w:val="clear" w:color="auto" w:fill="FFFFFF"/>
        <w:tblCellMar>
          <w:top w:w="15" w:type="dxa"/>
          <w:left w:w="15" w:type="dxa"/>
          <w:bottom w:w="15" w:type="dxa"/>
          <w:right w:w="15" w:type="dxa"/>
        </w:tblCellMar>
        <w:tblLook w:val="04A0" w:firstRow="1" w:lastRow="0" w:firstColumn="1" w:lastColumn="0" w:noHBand="0" w:noVBand="1"/>
      </w:tblPr>
      <w:tblGrid>
        <w:gridCol w:w="4185"/>
        <w:gridCol w:w="1218"/>
      </w:tblGrid>
      <w:tr w:rsidR="007E127D" w:rsidRPr="007E127D" w14:paraId="7841F5D9" w14:textId="77777777">
        <w:tc>
          <w:tcPr>
            <w:tcW w:w="0" w:type="auto"/>
            <w:tcBorders>
              <w:top w:val="single" w:sz="6" w:space="0" w:color="FFFFFF"/>
              <w:left w:val="single" w:sz="6" w:space="0" w:color="EBE285"/>
            </w:tcBorders>
            <w:shd w:val="clear" w:color="auto" w:fill="F5F0C4"/>
            <w:vAlign w:val="bottom"/>
            <w:hideMark/>
          </w:tcPr>
          <w:p w14:paraId="488AF818" w14:textId="77777777" w:rsidR="007E127D" w:rsidRPr="007E127D" w:rsidRDefault="007E127D" w:rsidP="007E127D">
            <w:pPr>
              <w:pStyle w:val="Corpsdetexte"/>
              <w:tabs>
                <w:tab w:val="left" w:pos="0"/>
              </w:tabs>
              <w:spacing w:after="280"/>
              <w:jc w:val="both"/>
              <w:rPr>
                <w:b/>
                <w:bCs/>
              </w:rPr>
            </w:pPr>
            <w:r w:rsidRPr="007E127D">
              <w:rPr>
                <w:b/>
                <w:bCs/>
              </w:rPr>
              <w:t>Brut HT</w:t>
            </w:r>
            <w:r w:rsidRPr="007E127D">
              <w:rPr>
                <w:i/>
                <w:iCs/>
              </w:rPr>
              <w:t> (à déclarer)</w:t>
            </w:r>
          </w:p>
        </w:tc>
        <w:tc>
          <w:tcPr>
            <w:tcW w:w="0" w:type="auto"/>
            <w:tcBorders>
              <w:top w:val="single" w:sz="6" w:space="0" w:color="EBE285"/>
              <w:left w:val="single" w:sz="6" w:space="0" w:color="EBE285"/>
            </w:tcBorders>
            <w:shd w:val="clear" w:color="auto" w:fill="FFFFFF"/>
            <w:vAlign w:val="bottom"/>
            <w:hideMark/>
          </w:tcPr>
          <w:p w14:paraId="165C9161" w14:textId="77777777" w:rsidR="007E127D" w:rsidRPr="007E127D" w:rsidRDefault="007E127D" w:rsidP="007E127D">
            <w:pPr>
              <w:pStyle w:val="Corpsdetexte"/>
              <w:tabs>
                <w:tab w:val="left" w:pos="0"/>
              </w:tabs>
              <w:spacing w:after="280"/>
              <w:jc w:val="both"/>
              <w:rPr>
                <w:b/>
                <w:bCs/>
              </w:rPr>
            </w:pPr>
            <w:r w:rsidRPr="007E127D">
              <w:rPr>
                <w:b/>
                <w:bCs/>
              </w:rPr>
              <w:t>310,47</w:t>
            </w:r>
          </w:p>
        </w:tc>
      </w:tr>
      <w:tr w:rsidR="007E127D" w:rsidRPr="007E127D" w14:paraId="7A2D8505" w14:textId="77777777">
        <w:tc>
          <w:tcPr>
            <w:tcW w:w="0" w:type="auto"/>
            <w:tcBorders>
              <w:top w:val="single" w:sz="6" w:space="0" w:color="FFFFFF"/>
              <w:left w:val="single" w:sz="6" w:space="0" w:color="EBE285"/>
              <w:bottom w:val="single" w:sz="12" w:space="0" w:color="EBE285"/>
            </w:tcBorders>
            <w:shd w:val="clear" w:color="auto" w:fill="F5F0C4"/>
            <w:vAlign w:val="bottom"/>
            <w:hideMark/>
          </w:tcPr>
          <w:p w14:paraId="15818E34" w14:textId="77777777" w:rsidR="007E127D" w:rsidRPr="007E127D" w:rsidRDefault="007E127D" w:rsidP="007E127D">
            <w:pPr>
              <w:pStyle w:val="Corpsdetexte"/>
              <w:tabs>
                <w:tab w:val="left" w:pos="0"/>
              </w:tabs>
              <w:spacing w:after="280"/>
              <w:jc w:val="both"/>
              <w:rPr>
                <w:b/>
                <w:bCs/>
              </w:rPr>
            </w:pPr>
            <w:r w:rsidRPr="007E127D">
              <w:rPr>
                <w:b/>
                <w:bCs/>
              </w:rPr>
              <w:t>Imposable</w:t>
            </w:r>
            <w:r w:rsidRPr="007E127D">
              <w:rPr>
                <w:i/>
                <w:iCs/>
              </w:rPr>
              <w:t> (pour info)</w:t>
            </w:r>
          </w:p>
        </w:tc>
        <w:tc>
          <w:tcPr>
            <w:tcW w:w="0" w:type="auto"/>
            <w:tcBorders>
              <w:top w:val="single" w:sz="6" w:space="0" w:color="EBE285"/>
              <w:left w:val="single" w:sz="6" w:space="0" w:color="EBE285"/>
              <w:bottom w:val="single" w:sz="12" w:space="0" w:color="EBE285"/>
            </w:tcBorders>
            <w:shd w:val="clear" w:color="auto" w:fill="FFFFFF"/>
            <w:vAlign w:val="bottom"/>
            <w:hideMark/>
          </w:tcPr>
          <w:p w14:paraId="26392AD9" w14:textId="77777777" w:rsidR="007E127D" w:rsidRPr="007E127D" w:rsidRDefault="007E127D" w:rsidP="007E127D">
            <w:pPr>
              <w:pStyle w:val="Corpsdetexte"/>
              <w:tabs>
                <w:tab w:val="left" w:pos="0"/>
              </w:tabs>
              <w:spacing w:after="280"/>
              <w:jc w:val="both"/>
            </w:pPr>
            <w:r w:rsidRPr="007E127D">
              <w:t>204,91</w:t>
            </w:r>
          </w:p>
        </w:tc>
      </w:tr>
      <w:tr w:rsidR="007E127D" w:rsidRPr="007E127D" w14:paraId="1B5F0403" w14:textId="77777777">
        <w:tc>
          <w:tcPr>
            <w:tcW w:w="0" w:type="auto"/>
            <w:tcBorders>
              <w:top w:val="single" w:sz="6" w:space="0" w:color="FFFFFF"/>
              <w:left w:val="single" w:sz="6" w:space="0" w:color="EBE285"/>
            </w:tcBorders>
            <w:shd w:val="clear" w:color="auto" w:fill="F5F0C4"/>
            <w:vAlign w:val="bottom"/>
            <w:hideMark/>
          </w:tcPr>
          <w:p w14:paraId="3F5507E1" w14:textId="77777777" w:rsidR="007E127D" w:rsidRPr="007E127D" w:rsidRDefault="007E127D" w:rsidP="007E127D">
            <w:pPr>
              <w:pStyle w:val="Corpsdetexte"/>
              <w:tabs>
                <w:tab w:val="left" w:pos="0"/>
              </w:tabs>
              <w:spacing w:after="280"/>
              <w:jc w:val="both"/>
              <w:rPr>
                <w:b/>
                <w:bCs/>
              </w:rPr>
            </w:pPr>
            <w:r w:rsidRPr="007E127D">
              <w:rPr>
                <w:b/>
                <w:bCs/>
              </w:rPr>
              <w:t>Assiette sociale</w:t>
            </w:r>
          </w:p>
        </w:tc>
        <w:tc>
          <w:tcPr>
            <w:tcW w:w="0" w:type="auto"/>
            <w:tcBorders>
              <w:top w:val="single" w:sz="6" w:space="0" w:color="EBE285"/>
              <w:left w:val="single" w:sz="6" w:space="0" w:color="EBE285"/>
            </w:tcBorders>
            <w:shd w:val="clear" w:color="auto" w:fill="FFFFFF"/>
            <w:vAlign w:val="bottom"/>
            <w:hideMark/>
          </w:tcPr>
          <w:p w14:paraId="3C1C0E57" w14:textId="77777777" w:rsidR="007E127D" w:rsidRPr="007E127D" w:rsidRDefault="007E127D" w:rsidP="007E127D">
            <w:pPr>
              <w:pStyle w:val="Corpsdetexte"/>
              <w:tabs>
                <w:tab w:val="left" w:pos="0"/>
              </w:tabs>
              <w:spacing w:after="280"/>
              <w:jc w:val="both"/>
            </w:pPr>
            <w:r w:rsidRPr="007E127D">
              <w:t>235,65</w:t>
            </w:r>
          </w:p>
        </w:tc>
      </w:tr>
      <w:tr w:rsidR="007E127D" w:rsidRPr="007E127D" w14:paraId="53E7576A" w14:textId="77777777">
        <w:tc>
          <w:tcPr>
            <w:tcW w:w="0" w:type="auto"/>
            <w:tcBorders>
              <w:top w:val="single" w:sz="6" w:space="0" w:color="FFFFFF"/>
              <w:left w:val="single" w:sz="6" w:space="0" w:color="EBE285"/>
            </w:tcBorders>
            <w:shd w:val="clear" w:color="auto" w:fill="F5F0C4"/>
            <w:vAlign w:val="bottom"/>
            <w:hideMark/>
          </w:tcPr>
          <w:p w14:paraId="2729A9DA" w14:textId="77777777" w:rsidR="007E127D" w:rsidRPr="007E127D" w:rsidRDefault="007E127D" w:rsidP="007E127D">
            <w:pPr>
              <w:pStyle w:val="Corpsdetexte"/>
              <w:tabs>
                <w:tab w:val="left" w:pos="0"/>
              </w:tabs>
              <w:spacing w:after="280"/>
              <w:jc w:val="both"/>
              <w:rPr>
                <w:b/>
                <w:bCs/>
              </w:rPr>
            </w:pPr>
            <w:r w:rsidRPr="007E127D">
              <w:rPr>
                <w:b/>
                <w:bCs/>
              </w:rPr>
              <w:t>Vieillesse plafonnée</w:t>
            </w:r>
          </w:p>
        </w:tc>
        <w:tc>
          <w:tcPr>
            <w:tcW w:w="0" w:type="auto"/>
            <w:tcBorders>
              <w:top w:val="single" w:sz="6" w:space="0" w:color="EBE285"/>
              <w:left w:val="single" w:sz="6" w:space="0" w:color="EBE285"/>
            </w:tcBorders>
            <w:shd w:val="clear" w:color="auto" w:fill="FFFFFF"/>
            <w:vAlign w:val="bottom"/>
            <w:hideMark/>
          </w:tcPr>
          <w:p w14:paraId="0465E3F8" w14:textId="77777777" w:rsidR="007E127D" w:rsidRPr="007E127D" w:rsidRDefault="007E127D" w:rsidP="007E127D">
            <w:pPr>
              <w:pStyle w:val="Corpsdetexte"/>
              <w:tabs>
                <w:tab w:val="left" w:pos="0"/>
              </w:tabs>
              <w:spacing w:after="280"/>
              <w:jc w:val="both"/>
            </w:pPr>
            <w:r w:rsidRPr="007E127D">
              <w:t>14,49</w:t>
            </w:r>
          </w:p>
        </w:tc>
      </w:tr>
      <w:tr w:rsidR="007E127D" w:rsidRPr="007E127D" w14:paraId="3D6DDA3B" w14:textId="77777777">
        <w:tc>
          <w:tcPr>
            <w:tcW w:w="0" w:type="auto"/>
            <w:tcBorders>
              <w:top w:val="single" w:sz="6" w:space="0" w:color="FFFFFF"/>
              <w:left w:val="single" w:sz="6" w:space="0" w:color="EBE285"/>
            </w:tcBorders>
            <w:shd w:val="clear" w:color="auto" w:fill="F5F0C4"/>
            <w:vAlign w:val="bottom"/>
            <w:hideMark/>
          </w:tcPr>
          <w:p w14:paraId="6D1171CB" w14:textId="77777777" w:rsidR="007E127D" w:rsidRPr="007E127D" w:rsidRDefault="007E127D" w:rsidP="007E127D">
            <w:pPr>
              <w:pStyle w:val="Corpsdetexte"/>
              <w:tabs>
                <w:tab w:val="left" w:pos="0"/>
              </w:tabs>
              <w:spacing w:after="280"/>
              <w:jc w:val="both"/>
              <w:rPr>
                <w:b/>
                <w:bCs/>
              </w:rPr>
            </w:pPr>
            <w:r w:rsidRPr="007E127D">
              <w:rPr>
                <w:b/>
                <w:bCs/>
              </w:rPr>
              <w:t>CSG</w:t>
            </w:r>
          </w:p>
        </w:tc>
        <w:tc>
          <w:tcPr>
            <w:tcW w:w="0" w:type="auto"/>
            <w:tcBorders>
              <w:top w:val="single" w:sz="6" w:space="0" w:color="EBE285"/>
              <w:left w:val="single" w:sz="6" w:space="0" w:color="EBE285"/>
            </w:tcBorders>
            <w:shd w:val="clear" w:color="auto" w:fill="FFFFFF"/>
            <w:vAlign w:val="bottom"/>
            <w:hideMark/>
          </w:tcPr>
          <w:p w14:paraId="5147755A" w14:textId="77777777" w:rsidR="007E127D" w:rsidRPr="007E127D" w:rsidRDefault="007E127D" w:rsidP="007E127D">
            <w:pPr>
              <w:pStyle w:val="Corpsdetexte"/>
              <w:tabs>
                <w:tab w:val="left" w:pos="0"/>
              </w:tabs>
              <w:spacing w:after="280"/>
              <w:jc w:val="both"/>
            </w:pPr>
            <w:r w:rsidRPr="007E127D">
              <w:t>21,68</w:t>
            </w:r>
          </w:p>
        </w:tc>
      </w:tr>
      <w:tr w:rsidR="007E127D" w:rsidRPr="007E127D" w14:paraId="625BC093" w14:textId="77777777">
        <w:tc>
          <w:tcPr>
            <w:tcW w:w="0" w:type="auto"/>
            <w:tcBorders>
              <w:top w:val="single" w:sz="6" w:space="0" w:color="FFFFFF"/>
              <w:left w:val="single" w:sz="6" w:space="0" w:color="EBE285"/>
            </w:tcBorders>
            <w:shd w:val="clear" w:color="auto" w:fill="F5F0C4"/>
            <w:vAlign w:val="bottom"/>
            <w:hideMark/>
          </w:tcPr>
          <w:p w14:paraId="3A59EFC9" w14:textId="77777777" w:rsidR="007E127D" w:rsidRPr="007E127D" w:rsidRDefault="007E127D" w:rsidP="007E127D">
            <w:pPr>
              <w:pStyle w:val="Corpsdetexte"/>
              <w:tabs>
                <w:tab w:val="left" w:pos="0"/>
              </w:tabs>
              <w:spacing w:after="280"/>
              <w:jc w:val="both"/>
              <w:rPr>
                <w:b/>
                <w:bCs/>
              </w:rPr>
            </w:pPr>
            <w:r w:rsidRPr="007E127D">
              <w:rPr>
                <w:b/>
                <w:bCs/>
              </w:rPr>
              <w:t>CRDS</w:t>
            </w:r>
          </w:p>
        </w:tc>
        <w:tc>
          <w:tcPr>
            <w:tcW w:w="0" w:type="auto"/>
            <w:tcBorders>
              <w:top w:val="single" w:sz="6" w:space="0" w:color="EBE285"/>
              <w:left w:val="single" w:sz="6" w:space="0" w:color="EBE285"/>
            </w:tcBorders>
            <w:shd w:val="clear" w:color="auto" w:fill="FFFFFF"/>
            <w:vAlign w:val="bottom"/>
            <w:hideMark/>
          </w:tcPr>
          <w:p w14:paraId="2750D082" w14:textId="77777777" w:rsidR="007E127D" w:rsidRPr="007E127D" w:rsidRDefault="007E127D" w:rsidP="007E127D">
            <w:pPr>
              <w:pStyle w:val="Corpsdetexte"/>
              <w:tabs>
                <w:tab w:val="left" w:pos="0"/>
              </w:tabs>
              <w:spacing w:after="280"/>
              <w:jc w:val="both"/>
            </w:pPr>
            <w:r w:rsidRPr="007E127D">
              <w:t>1,18</w:t>
            </w:r>
          </w:p>
        </w:tc>
      </w:tr>
      <w:tr w:rsidR="007E127D" w:rsidRPr="007E127D" w14:paraId="5FC46A55" w14:textId="77777777">
        <w:tc>
          <w:tcPr>
            <w:tcW w:w="0" w:type="auto"/>
            <w:tcBorders>
              <w:top w:val="single" w:sz="6" w:space="0" w:color="FFFFFF"/>
              <w:left w:val="single" w:sz="6" w:space="0" w:color="EBE285"/>
            </w:tcBorders>
            <w:shd w:val="clear" w:color="auto" w:fill="F5F0C4"/>
            <w:vAlign w:val="bottom"/>
            <w:hideMark/>
          </w:tcPr>
          <w:p w14:paraId="74F7ADD4" w14:textId="77777777" w:rsidR="007E127D" w:rsidRPr="007E127D" w:rsidRDefault="007E127D" w:rsidP="007E127D">
            <w:pPr>
              <w:pStyle w:val="Corpsdetexte"/>
              <w:tabs>
                <w:tab w:val="left" w:pos="0"/>
              </w:tabs>
              <w:spacing w:after="280"/>
              <w:jc w:val="both"/>
              <w:rPr>
                <w:b/>
                <w:bCs/>
              </w:rPr>
            </w:pPr>
            <w:r w:rsidRPr="007E127D">
              <w:rPr>
                <w:b/>
                <w:bCs/>
              </w:rPr>
              <w:t>Formation</w:t>
            </w:r>
          </w:p>
        </w:tc>
        <w:tc>
          <w:tcPr>
            <w:tcW w:w="0" w:type="auto"/>
            <w:tcBorders>
              <w:top w:val="single" w:sz="6" w:space="0" w:color="EBE285"/>
              <w:left w:val="single" w:sz="6" w:space="0" w:color="EBE285"/>
            </w:tcBorders>
            <w:shd w:val="clear" w:color="auto" w:fill="FFFFFF"/>
            <w:vAlign w:val="bottom"/>
            <w:hideMark/>
          </w:tcPr>
          <w:p w14:paraId="5CD48378" w14:textId="77777777" w:rsidR="007E127D" w:rsidRPr="007E127D" w:rsidRDefault="007E127D" w:rsidP="007E127D">
            <w:pPr>
              <w:pStyle w:val="Corpsdetexte"/>
              <w:tabs>
                <w:tab w:val="left" w:pos="0"/>
              </w:tabs>
              <w:spacing w:after="280"/>
              <w:jc w:val="both"/>
            </w:pPr>
            <w:r w:rsidRPr="007E127D">
              <w:t>0,82</w:t>
            </w:r>
          </w:p>
        </w:tc>
      </w:tr>
      <w:tr w:rsidR="007E127D" w:rsidRPr="007E127D" w14:paraId="60DE4C17" w14:textId="77777777">
        <w:tc>
          <w:tcPr>
            <w:tcW w:w="0" w:type="auto"/>
            <w:tcBorders>
              <w:top w:val="single" w:sz="6" w:space="0" w:color="FFFFFF"/>
              <w:left w:val="single" w:sz="6" w:space="0" w:color="EBE285"/>
              <w:bottom w:val="single" w:sz="12" w:space="0" w:color="EBE285"/>
            </w:tcBorders>
            <w:shd w:val="clear" w:color="auto" w:fill="F5F0C4"/>
            <w:vAlign w:val="bottom"/>
            <w:hideMark/>
          </w:tcPr>
          <w:p w14:paraId="0D30339F" w14:textId="77777777" w:rsidR="007E127D" w:rsidRPr="007E127D" w:rsidRDefault="007E127D" w:rsidP="007E127D">
            <w:pPr>
              <w:pStyle w:val="Corpsdetexte"/>
              <w:tabs>
                <w:tab w:val="left" w:pos="0"/>
              </w:tabs>
              <w:spacing w:after="280"/>
              <w:jc w:val="both"/>
              <w:rPr>
                <w:b/>
                <w:bCs/>
              </w:rPr>
            </w:pPr>
            <w:r w:rsidRPr="007E127D">
              <w:rPr>
                <w:b/>
                <w:bCs/>
              </w:rPr>
              <w:t>Total URSSAF</w:t>
            </w:r>
          </w:p>
        </w:tc>
        <w:tc>
          <w:tcPr>
            <w:tcW w:w="0" w:type="auto"/>
            <w:tcBorders>
              <w:top w:val="single" w:sz="6" w:space="0" w:color="EBE285"/>
              <w:left w:val="single" w:sz="6" w:space="0" w:color="EBE285"/>
              <w:bottom w:val="single" w:sz="12" w:space="0" w:color="EBE285"/>
            </w:tcBorders>
            <w:shd w:val="clear" w:color="auto" w:fill="FFFFFF"/>
            <w:vAlign w:val="bottom"/>
            <w:hideMark/>
          </w:tcPr>
          <w:p w14:paraId="0D390E17" w14:textId="77777777" w:rsidR="007E127D" w:rsidRPr="007E127D" w:rsidRDefault="007E127D" w:rsidP="007E127D">
            <w:pPr>
              <w:pStyle w:val="Corpsdetexte"/>
              <w:tabs>
                <w:tab w:val="left" w:pos="0"/>
              </w:tabs>
              <w:spacing w:after="280"/>
              <w:jc w:val="both"/>
              <w:rPr>
                <w:b/>
                <w:bCs/>
              </w:rPr>
            </w:pPr>
            <w:r w:rsidRPr="007E127D">
              <w:rPr>
                <w:b/>
                <w:bCs/>
              </w:rPr>
              <w:t>38,17</w:t>
            </w:r>
          </w:p>
        </w:tc>
      </w:tr>
      <w:tr w:rsidR="007E127D" w:rsidRPr="007E127D" w14:paraId="7181CAC2" w14:textId="77777777">
        <w:tc>
          <w:tcPr>
            <w:tcW w:w="0" w:type="auto"/>
            <w:tcBorders>
              <w:top w:val="single" w:sz="6" w:space="0" w:color="FFFFFF"/>
              <w:left w:val="single" w:sz="6" w:space="0" w:color="EBE285"/>
            </w:tcBorders>
            <w:shd w:val="clear" w:color="auto" w:fill="F5F0C4"/>
            <w:vAlign w:val="bottom"/>
            <w:hideMark/>
          </w:tcPr>
          <w:p w14:paraId="4B19EFFD" w14:textId="7B6F12F9" w:rsidR="007E127D" w:rsidRPr="007E127D" w:rsidRDefault="007E127D" w:rsidP="007E127D">
            <w:pPr>
              <w:pStyle w:val="Corpsdetexte"/>
              <w:tabs>
                <w:tab w:val="left" w:pos="0"/>
              </w:tabs>
              <w:spacing w:after="280"/>
              <w:jc w:val="both"/>
              <w:rPr>
                <w:b/>
                <w:bCs/>
              </w:rPr>
            </w:pPr>
            <w:r w:rsidRPr="007E127D">
              <w:rPr>
                <w:b/>
                <w:bCs/>
              </w:rPr>
              <w:t>Contribution diffuseur</w:t>
            </w:r>
            <w:r>
              <w:rPr>
                <w:b/>
                <w:bCs/>
              </w:rPr>
              <w:t xml:space="preserve"> </w:t>
            </w:r>
          </w:p>
        </w:tc>
        <w:tc>
          <w:tcPr>
            <w:tcW w:w="0" w:type="auto"/>
            <w:tcBorders>
              <w:top w:val="single" w:sz="6" w:space="0" w:color="EBE285"/>
              <w:left w:val="single" w:sz="6" w:space="0" w:color="EBE285"/>
            </w:tcBorders>
            <w:shd w:val="clear" w:color="auto" w:fill="FFFFFF"/>
            <w:vAlign w:val="bottom"/>
            <w:hideMark/>
          </w:tcPr>
          <w:p w14:paraId="3D188A63" w14:textId="77777777" w:rsidR="007E127D" w:rsidRPr="007E127D" w:rsidRDefault="007E127D" w:rsidP="007E127D">
            <w:pPr>
              <w:pStyle w:val="Corpsdetexte"/>
              <w:tabs>
                <w:tab w:val="left" w:pos="0"/>
              </w:tabs>
              <w:spacing w:after="280"/>
              <w:jc w:val="both"/>
            </w:pPr>
            <w:r w:rsidRPr="007E127D">
              <w:t>3,10</w:t>
            </w:r>
          </w:p>
        </w:tc>
      </w:tr>
      <w:tr w:rsidR="007E127D" w:rsidRPr="007E127D" w14:paraId="5863D190" w14:textId="77777777">
        <w:tc>
          <w:tcPr>
            <w:tcW w:w="0" w:type="auto"/>
            <w:tcBorders>
              <w:top w:val="single" w:sz="6" w:space="0" w:color="FFFFFF"/>
              <w:left w:val="single" w:sz="6" w:space="0" w:color="EBE285"/>
            </w:tcBorders>
            <w:shd w:val="clear" w:color="auto" w:fill="F5F0C4"/>
            <w:vAlign w:val="bottom"/>
            <w:hideMark/>
          </w:tcPr>
          <w:p w14:paraId="1B4C69AB" w14:textId="77777777" w:rsidR="007E127D" w:rsidRPr="007E127D" w:rsidRDefault="007E127D" w:rsidP="007E127D">
            <w:pPr>
              <w:pStyle w:val="Corpsdetexte"/>
              <w:tabs>
                <w:tab w:val="left" w:pos="0"/>
              </w:tabs>
              <w:spacing w:after="280"/>
              <w:jc w:val="both"/>
              <w:rPr>
                <w:b/>
                <w:bCs/>
              </w:rPr>
            </w:pPr>
            <w:r w:rsidRPr="007E127D">
              <w:rPr>
                <w:b/>
                <w:bCs/>
              </w:rPr>
              <w:t>Formation diffuseur</w:t>
            </w:r>
          </w:p>
        </w:tc>
        <w:tc>
          <w:tcPr>
            <w:tcW w:w="0" w:type="auto"/>
            <w:tcBorders>
              <w:top w:val="single" w:sz="6" w:space="0" w:color="EBE285"/>
              <w:left w:val="single" w:sz="6" w:space="0" w:color="EBE285"/>
            </w:tcBorders>
            <w:shd w:val="clear" w:color="auto" w:fill="FFFFFF"/>
            <w:vAlign w:val="bottom"/>
            <w:hideMark/>
          </w:tcPr>
          <w:p w14:paraId="5D7E7BE4" w14:textId="77777777" w:rsidR="007E127D" w:rsidRPr="007E127D" w:rsidRDefault="007E127D" w:rsidP="007E127D">
            <w:pPr>
              <w:pStyle w:val="Corpsdetexte"/>
              <w:tabs>
                <w:tab w:val="left" w:pos="0"/>
              </w:tabs>
              <w:spacing w:after="280"/>
              <w:jc w:val="both"/>
            </w:pPr>
            <w:r w:rsidRPr="007E127D">
              <w:t>0,31</w:t>
            </w:r>
          </w:p>
        </w:tc>
      </w:tr>
      <w:tr w:rsidR="007E127D" w:rsidRPr="007E127D" w14:paraId="325F56D8" w14:textId="77777777">
        <w:tc>
          <w:tcPr>
            <w:tcW w:w="0" w:type="auto"/>
            <w:tcBorders>
              <w:top w:val="single" w:sz="6" w:space="0" w:color="FFFFFF"/>
              <w:left w:val="single" w:sz="6" w:space="0" w:color="EBE285"/>
              <w:bottom w:val="single" w:sz="12" w:space="0" w:color="EBE285"/>
            </w:tcBorders>
            <w:shd w:val="clear" w:color="auto" w:fill="F5F0C4"/>
            <w:vAlign w:val="bottom"/>
            <w:hideMark/>
          </w:tcPr>
          <w:p w14:paraId="086B6532" w14:textId="77777777" w:rsidR="007E127D" w:rsidRPr="007E127D" w:rsidRDefault="007E127D" w:rsidP="007E127D">
            <w:pPr>
              <w:pStyle w:val="Corpsdetexte"/>
              <w:tabs>
                <w:tab w:val="left" w:pos="0"/>
              </w:tabs>
              <w:spacing w:after="280"/>
              <w:jc w:val="both"/>
              <w:rPr>
                <w:b/>
                <w:bCs/>
              </w:rPr>
            </w:pPr>
            <w:r w:rsidRPr="007E127D">
              <w:rPr>
                <w:b/>
                <w:bCs/>
              </w:rPr>
              <w:t>Total diffuseur</w:t>
            </w:r>
          </w:p>
        </w:tc>
        <w:tc>
          <w:tcPr>
            <w:tcW w:w="0" w:type="auto"/>
            <w:tcBorders>
              <w:top w:val="single" w:sz="6" w:space="0" w:color="EBE285"/>
              <w:left w:val="single" w:sz="6" w:space="0" w:color="EBE285"/>
              <w:bottom w:val="single" w:sz="12" w:space="0" w:color="EBE285"/>
            </w:tcBorders>
            <w:shd w:val="clear" w:color="auto" w:fill="FFFFFF"/>
            <w:vAlign w:val="bottom"/>
            <w:hideMark/>
          </w:tcPr>
          <w:p w14:paraId="1B15E783" w14:textId="77777777" w:rsidR="007E127D" w:rsidRPr="007E127D" w:rsidRDefault="007E127D" w:rsidP="007E127D">
            <w:pPr>
              <w:pStyle w:val="Corpsdetexte"/>
              <w:tabs>
                <w:tab w:val="left" w:pos="0"/>
              </w:tabs>
              <w:spacing w:after="280"/>
              <w:jc w:val="both"/>
              <w:rPr>
                <w:b/>
                <w:bCs/>
              </w:rPr>
            </w:pPr>
            <w:r w:rsidRPr="007E127D">
              <w:rPr>
                <w:b/>
                <w:bCs/>
              </w:rPr>
              <w:t>3,41</w:t>
            </w:r>
          </w:p>
        </w:tc>
      </w:tr>
    </w:tbl>
    <w:p w14:paraId="258359AC" w14:textId="77777777" w:rsidR="007E127D" w:rsidRPr="007E127D" w:rsidRDefault="007E127D" w:rsidP="007E127D">
      <w:pPr>
        <w:pStyle w:val="Corpsdetexte"/>
        <w:tabs>
          <w:tab w:val="left" w:pos="0"/>
        </w:tabs>
        <w:spacing w:after="280"/>
        <w:jc w:val="both"/>
      </w:pPr>
    </w:p>
    <w:p w14:paraId="0BD943C8" w14:textId="51041AC2" w:rsidR="00936465" w:rsidRDefault="00936465">
      <w:pPr>
        <w:pStyle w:val="Corpsdetexte"/>
        <w:numPr>
          <w:ilvl w:val="0"/>
          <w:numId w:val="4"/>
        </w:numPr>
        <w:tabs>
          <w:tab w:val="left" w:pos="0"/>
        </w:tabs>
        <w:spacing w:after="280"/>
        <w:jc w:val="both"/>
      </w:pPr>
      <w:r>
        <w:rPr>
          <w:rFonts w:ascii="Calibri" w:hAnsi="Calibri" w:cs="Calibri"/>
        </w:rPr>
        <w:t>Si les droits ne sont pas soumis à TVA, déclarer au fisc le </w:t>
      </w:r>
      <w:r>
        <w:rPr>
          <w:rStyle w:val="lev"/>
          <w:rFonts w:ascii="Calibri" w:hAnsi="Calibri" w:cs="Calibri"/>
          <w:color w:val="07438A"/>
        </w:rPr>
        <w:t>net auteur hors TVA, imposable</w:t>
      </w:r>
      <w:r>
        <w:rPr>
          <w:rFonts w:ascii="Calibri" w:hAnsi="Calibri" w:cs="Calibri"/>
          <w:color w:val="888888"/>
        </w:rPr>
        <w:t>.</w:t>
      </w:r>
    </w:p>
    <w:p w14:paraId="2909FBF1" w14:textId="77777777" w:rsidR="0053696B" w:rsidRPr="0053696B" w:rsidRDefault="00936465" w:rsidP="0053696B">
      <w:pPr>
        <w:pStyle w:val="Corpsdetexte"/>
        <w:numPr>
          <w:ilvl w:val="0"/>
          <w:numId w:val="4"/>
        </w:numPr>
        <w:pBdr>
          <w:top w:val="none" w:sz="0" w:space="0" w:color="000000"/>
          <w:left w:val="none" w:sz="0" w:space="0" w:color="000000"/>
          <w:bottom w:val="none" w:sz="0" w:space="0" w:color="000000"/>
          <w:right w:val="none" w:sz="0" w:space="0" w:color="000000"/>
        </w:pBdr>
        <w:tabs>
          <w:tab w:val="left" w:pos="0"/>
        </w:tabs>
        <w:spacing w:after="0"/>
        <w:jc w:val="both"/>
      </w:pPr>
      <w:r>
        <w:rPr>
          <w:rFonts w:ascii="Calibri" w:hAnsi="Calibri" w:cs="Calibri"/>
        </w:rPr>
        <w:t xml:space="preserve"> Dans le cas contraire, si les droits sont versés par un tiers effectuant la retenue de TVA à la source pour le compte de l’auteur — typiquement un éditeur —, il faut ajouter au total imposable la fraction non déductible de cette TVA, déclarez alors au fisc le</w:t>
      </w:r>
      <w:r>
        <w:rPr>
          <w:rFonts w:ascii="Source Sans Pro" w:hAnsi="Source Sans Pro"/>
          <w:color w:val="888888"/>
          <w:sz w:val="26"/>
        </w:rPr>
        <w:t> </w:t>
      </w:r>
      <w:r>
        <w:rPr>
          <w:rStyle w:val="lev"/>
          <w:rFonts w:ascii="Calibri" w:hAnsi="Calibri"/>
          <w:color w:val="800080"/>
        </w:rPr>
        <w:t>total TTC</w:t>
      </w:r>
      <w:r>
        <w:rPr>
          <w:rFonts w:ascii="Source Sans Pro" w:hAnsi="Source Sans Pro"/>
          <w:color w:val="888888"/>
          <w:sz w:val="26"/>
        </w:rPr>
        <w:t>.</w:t>
      </w:r>
    </w:p>
    <w:p w14:paraId="7F130D6F" w14:textId="77777777" w:rsidR="0053696B" w:rsidRDefault="0053696B" w:rsidP="0053696B">
      <w:pPr>
        <w:pStyle w:val="Corpsdetexte"/>
        <w:pBdr>
          <w:top w:val="none" w:sz="0" w:space="0" w:color="000000"/>
          <w:left w:val="none" w:sz="0" w:space="0" w:color="000000"/>
          <w:bottom w:val="none" w:sz="0" w:space="0" w:color="000000"/>
          <w:right w:val="none" w:sz="0" w:space="0" w:color="000000"/>
        </w:pBdr>
        <w:spacing w:after="0"/>
        <w:jc w:val="both"/>
      </w:pPr>
    </w:p>
    <w:p w14:paraId="40F7265B" w14:textId="7BE38688" w:rsidR="0052623C" w:rsidRDefault="00F10747">
      <w:pPr>
        <w:pStyle w:val="Corpsdetexte"/>
        <w:numPr>
          <w:ilvl w:val="0"/>
          <w:numId w:val="4"/>
        </w:numPr>
        <w:pBdr>
          <w:top w:val="none" w:sz="0" w:space="0" w:color="000000"/>
          <w:left w:val="none" w:sz="0" w:space="0" w:color="000000"/>
          <w:bottom w:val="none" w:sz="0" w:space="0" w:color="000000"/>
          <w:right w:val="none" w:sz="0" w:space="0" w:color="000000"/>
        </w:pBdr>
        <w:tabs>
          <w:tab w:val="left" w:pos="0"/>
        </w:tabs>
        <w:spacing w:after="0"/>
        <w:jc w:val="both"/>
      </w:pPr>
      <w:r>
        <w:rPr>
          <w:rFonts w:ascii="Calibri" w:hAnsi="Calibri" w:cs="Calibri"/>
        </w:rPr>
        <w:t xml:space="preserve"> </w:t>
      </w:r>
      <w:r w:rsidR="00936465" w:rsidRPr="00DF62FA">
        <w:rPr>
          <w:rFonts w:ascii="Calibri" w:hAnsi="Calibri" w:cs="Calibri"/>
        </w:rPr>
        <w:t>En outre, l’organisateur verse une participation de 1,1 % de la rémunération brute, au titre de la contribution Diffuseur : 3,</w:t>
      </w:r>
      <w:r w:rsidR="007E127D">
        <w:rPr>
          <w:rFonts w:ascii="Calibri" w:hAnsi="Calibri" w:cs="Calibri"/>
        </w:rPr>
        <w:t>41</w:t>
      </w:r>
      <w:r w:rsidR="00936465" w:rsidRPr="00DF62FA">
        <w:rPr>
          <w:rFonts w:ascii="Calibri" w:hAnsi="Calibri" w:cs="Calibri"/>
        </w:rPr>
        <w:t xml:space="preserve"> €.</w:t>
      </w:r>
      <w:r w:rsidR="00DF62FA" w:rsidRPr="00DF62FA">
        <w:rPr>
          <w:rFonts w:ascii="Calibri" w:hAnsi="Calibri" w:cs="Calibri"/>
        </w:rPr>
        <w:t>,</w:t>
      </w:r>
    </w:p>
    <w:sectPr w:rsidR="0052623C">
      <w:footerReference w:type="default" r:id="rId20"/>
      <w:footerReference w:type="first" r:id="rId21"/>
      <w:pgSz w:w="11906" w:h="16838"/>
      <w:pgMar w:top="1417" w:right="1417"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E0A1" w14:textId="77777777" w:rsidR="009876DB" w:rsidRDefault="009876DB">
      <w:r>
        <w:separator/>
      </w:r>
    </w:p>
  </w:endnote>
  <w:endnote w:type="continuationSeparator" w:id="0">
    <w:p w14:paraId="03E04EE6" w14:textId="77777777" w:rsidR="009876DB" w:rsidRDefault="0098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B2FB" w14:textId="7CD10F90" w:rsidR="00936465" w:rsidRDefault="00E427D3">
    <w:pPr>
      <w:pStyle w:val="Pieddepage"/>
      <w:tabs>
        <w:tab w:val="clear" w:pos="9071"/>
        <w:tab w:val="right" w:pos="9411"/>
      </w:tabs>
      <w:ind w:right="360"/>
    </w:pPr>
    <w:r>
      <w:rPr>
        <w:noProof/>
      </w:rPr>
      <mc:AlternateContent>
        <mc:Choice Requires="wps">
          <w:drawing>
            <wp:anchor distT="0" distB="0" distL="0" distR="0" simplePos="0" relativeHeight="251657728" behindDoc="0" locked="0" layoutInCell="1" allowOverlap="1" wp14:anchorId="365FFE80" wp14:editId="35D66442">
              <wp:simplePos x="0" y="0"/>
              <wp:positionH relativeFrom="page">
                <wp:posOffset>6660515</wp:posOffset>
              </wp:positionH>
              <wp:positionV relativeFrom="paragraph">
                <wp:posOffset>635</wp:posOffset>
              </wp:positionV>
              <wp:extent cx="795655" cy="402590"/>
              <wp:effectExtent l="2540" t="5715" r="1905" b="1270"/>
              <wp:wrapSquare wrapText="largest"/>
              <wp:docPr id="3228596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34AE5" w14:textId="77777777" w:rsidR="00936465" w:rsidRDefault="00936465">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FFE80" id="_x0000_t202" coordsize="21600,21600" o:spt="202" path="m,l,21600r21600,l21600,xe">
              <v:stroke joinstyle="miter"/>
              <v:path gradientshapeok="t" o:connecttype="rect"/>
            </v:shapetype>
            <v:shape id="Text Box 1" o:spid="_x0000_s1026" type="#_x0000_t202" style="position:absolute;left:0;text-align:left;margin-left:524.45pt;margin-top:.05pt;width:62.65pt;height:31.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" stroked="f">
              <v:fill opacity="0"/>
              <v:textbox inset=".05pt,.05pt,.05pt,.05pt">
                <w:txbxContent>
                  <w:p w14:paraId="1BB34AE5" w14:textId="77777777" w:rsidR="00936465" w:rsidRDefault="00936465">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xbxContent>
              </v:textbox>
              <w10:wrap type="square" side="largest" anchorx="page"/>
            </v:shape>
          </w:pict>
        </mc:Fallback>
      </mc:AlternateContent>
    </w:r>
  </w:p>
  <w:p w14:paraId="2FAE15DC" w14:textId="77777777" w:rsidR="00936465" w:rsidRDefault="00936465">
    <w:pPr>
      <w:pStyle w:val="Pieddepage"/>
      <w:tabs>
        <w:tab w:val="clear" w:pos="9071"/>
        <w:tab w:val="right" w:pos="9411"/>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6E0" w14:textId="77777777" w:rsidR="00936465" w:rsidRDefault="009364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4016" w14:textId="77777777" w:rsidR="009876DB" w:rsidRDefault="009876DB">
      <w:r>
        <w:separator/>
      </w:r>
    </w:p>
  </w:footnote>
  <w:footnote w:type="continuationSeparator" w:id="0">
    <w:p w14:paraId="532A374A" w14:textId="77777777" w:rsidR="009876DB" w:rsidRDefault="00987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sz w:val="20"/>
      </w:rPr>
    </w:lvl>
  </w:abstractNum>
  <w:abstractNum w:abstractNumId="2" w15:restartNumberingAfterBreak="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Wingdings" w:hAnsi="Wingdings"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20224C8"/>
    <w:multiLevelType w:val="multilevel"/>
    <w:tmpl w:val="730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60194"/>
    <w:multiLevelType w:val="multilevel"/>
    <w:tmpl w:val="8C4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87F03"/>
    <w:multiLevelType w:val="multilevel"/>
    <w:tmpl w:val="DAA2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72816"/>
    <w:multiLevelType w:val="multilevel"/>
    <w:tmpl w:val="2EC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513F0"/>
    <w:multiLevelType w:val="multilevel"/>
    <w:tmpl w:val="08A2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9253E"/>
    <w:multiLevelType w:val="multilevel"/>
    <w:tmpl w:val="074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C6912"/>
    <w:multiLevelType w:val="multilevel"/>
    <w:tmpl w:val="6B3A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A228F"/>
    <w:multiLevelType w:val="multilevel"/>
    <w:tmpl w:val="E302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144357">
    <w:abstractNumId w:val="0"/>
  </w:num>
  <w:num w:numId="2" w16cid:durableId="1774549538">
    <w:abstractNumId w:val="1"/>
  </w:num>
  <w:num w:numId="3" w16cid:durableId="1188374956">
    <w:abstractNumId w:val="2"/>
  </w:num>
  <w:num w:numId="4" w16cid:durableId="1454593305">
    <w:abstractNumId w:val="3"/>
  </w:num>
  <w:num w:numId="5" w16cid:durableId="1160847102">
    <w:abstractNumId w:val="11"/>
  </w:num>
  <w:num w:numId="6" w16cid:durableId="938607434">
    <w:abstractNumId w:val="6"/>
  </w:num>
  <w:num w:numId="7" w16cid:durableId="362902885">
    <w:abstractNumId w:val="8"/>
  </w:num>
  <w:num w:numId="8" w16cid:durableId="1472401344">
    <w:abstractNumId w:val="4"/>
  </w:num>
  <w:num w:numId="9" w16cid:durableId="851260648">
    <w:abstractNumId w:val="10"/>
  </w:num>
  <w:num w:numId="10" w16cid:durableId="923151910">
    <w:abstractNumId w:val="9"/>
  </w:num>
  <w:num w:numId="11" w16cid:durableId="678317989">
    <w:abstractNumId w:val="5"/>
  </w:num>
  <w:num w:numId="12" w16cid:durableId="985007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EB"/>
    <w:rsid w:val="00280F51"/>
    <w:rsid w:val="00332A46"/>
    <w:rsid w:val="0052623C"/>
    <w:rsid w:val="0053696B"/>
    <w:rsid w:val="00732170"/>
    <w:rsid w:val="007E127D"/>
    <w:rsid w:val="00817472"/>
    <w:rsid w:val="00936465"/>
    <w:rsid w:val="009876DB"/>
    <w:rsid w:val="009B7488"/>
    <w:rsid w:val="00CB56EB"/>
    <w:rsid w:val="00D75DE6"/>
    <w:rsid w:val="00D93BA3"/>
    <w:rsid w:val="00DA5F10"/>
    <w:rsid w:val="00DF62FA"/>
    <w:rsid w:val="00E427D3"/>
    <w:rsid w:val="00F10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FB591C0"/>
  <w15:chartTrackingRefBased/>
  <w15:docId w15:val="{C2F36F1C-9FD7-46EA-9AA3-6F499A61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jc w:val="center"/>
      <w:outlineLvl w:val="0"/>
    </w:pPr>
    <w:rPr>
      <w:rFonts w:ascii="Arial (W1)" w:hAnsi="Arial (W1)" w:cs="Arial"/>
      <w:b/>
      <w:bCs/>
      <w:smallCaps/>
      <w:szCs w:val="21"/>
      <w:u w:val="single"/>
    </w:rPr>
  </w:style>
  <w:style w:type="paragraph" w:styleId="Titre2">
    <w:name w:val="heading 2"/>
    <w:basedOn w:val="Normal"/>
    <w:next w:val="Normal"/>
    <w:link w:val="Titre2Car"/>
    <w:uiPriority w:val="9"/>
    <w:semiHidden/>
    <w:unhideWhenUsed/>
    <w:qFormat/>
    <w:rsid w:val="009B74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qFormat/>
    <w:pPr>
      <w:keepNext/>
      <w:numPr>
        <w:ilvl w:val="2"/>
        <w:numId w:val="1"/>
      </w:numPr>
      <w:pBdr>
        <w:top w:val="single" w:sz="4" w:space="1" w:color="000000"/>
        <w:left w:val="single" w:sz="4" w:space="12" w:color="000000"/>
        <w:bottom w:val="single" w:sz="4" w:space="1" w:color="000000"/>
        <w:right w:val="single" w:sz="4" w:space="31" w:color="000000"/>
      </w:pBdr>
      <w:shd w:val="clear" w:color="auto" w:fill="99CCFF"/>
      <w:jc w:val="center"/>
      <w:outlineLvl w:val="2"/>
    </w:pPr>
    <w:rPr>
      <w:rFonts w:ascii="Calibri" w:hAnsi="Calibri" w:cs="Arial"/>
      <w:b/>
      <w:bCs/>
      <w:sz w:val="28"/>
    </w:rPr>
  </w:style>
  <w:style w:type="paragraph" w:styleId="Titre4">
    <w:name w:val="heading 4"/>
    <w:basedOn w:val="Normal"/>
    <w:next w:val="Normal"/>
    <w:link w:val="Titre4Car"/>
    <w:uiPriority w:val="9"/>
    <w:semiHidden/>
    <w:unhideWhenUsed/>
    <w:qFormat/>
    <w:rsid w:val="009B74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0"/>
    </w:rPr>
  </w:style>
  <w:style w:type="character" w:customStyle="1" w:styleId="WW8Num5z0">
    <w:name w:val="WW8Num5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000FF"/>
      <w:u w:val="single"/>
    </w:rPr>
  </w:style>
  <w:style w:type="character" w:styleId="Lienhypertextesuivivisit">
    <w:name w:val="FollowedHyperlink"/>
    <w:rPr>
      <w:color w:val="800000"/>
      <w:u w:val="single"/>
    </w:rPr>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En-tteetpieddepage">
    <w:name w:val="En-tête et pied de page"/>
    <w:basedOn w:val="Normal"/>
    <w:pPr>
      <w:suppressLineNumbers/>
      <w:tabs>
        <w:tab w:val="center" w:pos="4819"/>
        <w:tab w:val="right" w:pos="9638"/>
      </w:tabs>
    </w:pPr>
  </w:style>
  <w:style w:type="paragraph" w:styleId="Pieddepage">
    <w:name w:val="footer"/>
    <w:basedOn w:val="Normal"/>
    <w:pPr>
      <w:tabs>
        <w:tab w:val="center" w:pos="4819"/>
        <w:tab w:val="right" w:pos="9071"/>
      </w:tabs>
      <w:overflowPunct w:val="0"/>
      <w:autoSpaceDE w:val="0"/>
      <w:spacing w:before="360" w:line="240" w:lineRule="atLeast"/>
      <w:ind w:firstLine="1134"/>
      <w:jc w:val="both"/>
    </w:pPr>
    <w:rPr>
      <w:color w:val="000080"/>
    </w:r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CorpsdetexteCar">
    <w:name w:val="Corps de texte Car"/>
    <w:link w:val="Corpsdetexte"/>
    <w:rsid w:val="0053696B"/>
    <w:rPr>
      <w:sz w:val="24"/>
      <w:szCs w:val="24"/>
      <w:lang w:eastAsia="zh-CN"/>
    </w:rPr>
  </w:style>
  <w:style w:type="paragraph" w:customStyle="1" w:styleId="Standard">
    <w:name w:val="Standard"/>
    <w:rsid w:val="00332A46"/>
    <w:pPr>
      <w:suppressAutoHyphens/>
      <w:autoSpaceDN w:val="0"/>
      <w:textAlignment w:val="baseline"/>
    </w:pPr>
    <w:rPr>
      <w:rFonts w:ascii="Liberation Serif" w:eastAsia="NSimSun" w:hAnsi="Liberation Serif" w:cs="Arial"/>
      <w:kern w:val="3"/>
      <w:sz w:val="24"/>
      <w:szCs w:val="24"/>
      <w:lang w:eastAsia="zh-CN" w:bidi="hi-IN"/>
    </w:rPr>
  </w:style>
  <w:style w:type="paragraph" w:styleId="Paragraphedeliste">
    <w:name w:val="List Paragraph"/>
    <w:basedOn w:val="Normal"/>
    <w:uiPriority w:val="34"/>
    <w:qFormat/>
    <w:rsid w:val="00F10747"/>
    <w:pPr>
      <w:ind w:left="720"/>
      <w:contextualSpacing/>
    </w:pPr>
  </w:style>
  <w:style w:type="character" w:customStyle="1" w:styleId="Titre2Car">
    <w:name w:val="Titre 2 Car"/>
    <w:basedOn w:val="Policepardfaut"/>
    <w:link w:val="Titre2"/>
    <w:uiPriority w:val="9"/>
    <w:semiHidden/>
    <w:rsid w:val="009B7488"/>
    <w:rPr>
      <w:rFonts w:asciiTheme="majorHAnsi" w:eastAsiaTheme="majorEastAsia" w:hAnsiTheme="majorHAnsi" w:cstheme="majorBidi"/>
      <w:color w:val="2F5496" w:themeColor="accent1" w:themeShade="BF"/>
      <w:sz w:val="26"/>
      <w:szCs w:val="26"/>
      <w:lang w:eastAsia="zh-CN"/>
    </w:rPr>
  </w:style>
  <w:style w:type="character" w:customStyle="1" w:styleId="Titre4Car">
    <w:name w:val="Titre 4 Car"/>
    <w:basedOn w:val="Policepardfaut"/>
    <w:link w:val="Titre4"/>
    <w:uiPriority w:val="9"/>
    <w:semiHidden/>
    <w:rsid w:val="009B7488"/>
    <w:rPr>
      <w:rFonts w:asciiTheme="majorHAnsi" w:eastAsiaTheme="majorEastAsia" w:hAnsiTheme="majorHAnsi" w:cstheme="majorBidi"/>
      <w:i/>
      <w:iCs/>
      <w:color w:val="2F5496" w:themeColor="accent1" w:themeShade="BF"/>
      <w:sz w:val="24"/>
      <w:szCs w:val="24"/>
      <w:lang w:eastAsia="zh-CN"/>
    </w:rPr>
  </w:style>
  <w:style w:type="character" w:styleId="Mentionnonrsolue">
    <w:name w:val="Unresolved Mention"/>
    <w:basedOn w:val="Policepardfaut"/>
    <w:uiPriority w:val="99"/>
    <w:semiHidden/>
    <w:unhideWhenUsed/>
    <w:rsid w:val="009B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ecu-artistes-auteurs.fr/diffuseur/mes-obligations-sociales/documentation-diffuseur" TargetMode="External"/><Relationship Id="rId18" Type="http://schemas.openxmlformats.org/officeDocument/2006/relationships/hyperlink" Target="https://www.la-charte.fr/inviter-chartiste/convention-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rtistes-auteurs.urssaf.fr/aa/accueil" TargetMode="External"/><Relationship Id="rId17" Type="http://schemas.openxmlformats.org/officeDocument/2006/relationships/hyperlink" Target="https://www.la-charte.fr/nos-metiers/modele-de-note-de-droits-dauteurs/" TargetMode="External"/><Relationship Id="rId2" Type="http://schemas.openxmlformats.org/officeDocument/2006/relationships/styles" Target="styles.xml"/><Relationship Id="rId16" Type="http://schemas.openxmlformats.org/officeDocument/2006/relationships/hyperlink" Target="https://www.la-charte.fr/inviter-chartiste/loutil-magiqu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sofiaactionculturelle.org/2025/09/remunerations-des-auteurs-participants-2026/" TargetMode="External"/><Relationship Id="rId5" Type="http://schemas.openxmlformats.org/officeDocument/2006/relationships/footnotes" Target="footnotes.xml"/><Relationship Id="rId15" Type="http://schemas.openxmlformats.org/officeDocument/2006/relationships/hyperlink" Target="https://www.secu-artistes-auteurs.fr/" TargetMode="External"/><Relationship Id="rId23" Type="http://schemas.openxmlformats.org/officeDocument/2006/relationships/theme" Target="theme/theme1.xml"/><Relationship Id="rId10" Type="http://schemas.openxmlformats.org/officeDocument/2006/relationships/hyperlink" Target="https://www.legifrance.gouv.fr/jorf/id/JORFTEXT000042284065/" TargetMode="External"/><Relationship Id="rId19" Type="http://schemas.openxmlformats.org/officeDocument/2006/relationships/hyperlink" Target="http://www.artistes-auteurs.urssaf.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on-entreprise.fr/simulateurs/artiste-auteu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1283</Words>
  <Characters>6687</Characters>
  <Application>Microsoft Office Word</Application>
  <DocSecurity>0</DocSecurity>
  <Lines>557</Lines>
  <Paragraphs>274</Paragraphs>
  <ScaleCrop>false</ScaleCrop>
  <HeadingPairs>
    <vt:vector size="2" baseType="variant">
      <vt:variant>
        <vt:lpstr>Titre</vt:lpstr>
      </vt:variant>
      <vt:variant>
        <vt:i4>1</vt:i4>
      </vt:variant>
    </vt:vector>
  </HeadingPairs>
  <TitlesOfParts>
    <vt:vector size="1" baseType="lpstr">
      <vt:lpstr>Charte des écrivains</vt:lpstr>
    </vt:vector>
  </TitlesOfParts>
  <Company>Somme.fr</Company>
  <LinksUpToDate>false</LinksUpToDate>
  <CharactersWithSpaces>7696</CharactersWithSpaces>
  <SharedDoc>false</SharedDoc>
  <HLinks>
    <vt:vector size="30" baseType="variant">
      <vt:variant>
        <vt:i4>1245212</vt:i4>
      </vt:variant>
      <vt:variant>
        <vt:i4>12</vt:i4>
      </vt:variant>
      <vt:variant>
        <vt:i4>0</vt:i4>
      </vt:variant>
      <vt:variant>
        <vt:i4>5</vt:i4>
      </vt:variant>
      <vt:variant>
        <vt:lpwstr>https://www.la-charte.fr/inviter-chartiste/outil-magique/</vt:lpwstr>
      </vt:variant>
      <vt:variant>
        <vt:lpwstr/>
      </vt:variant>
      <vt:variant>
        <vt:i4>14680097</vt:i4>
      </vt:variant>
      <vt:variant>
        <vt:i4>9</vt:i4>
      </vt:variant>
      <vt:variant>
        <vt:i4>0</vt:i4>
      </vt:variant>
      <vt:variant>
        <vt:i4>5</vt:i4>
      </vt:variant>
      <vt:variant>
        <vt:lpwstr>http://www.secu-artistes-auteurs.fr/sites/default/files/pdf/Mode%20opératoire%20ouverture%20espace%20Urssaf.pdf</vt:lpwstr>
      </vt:variant>
      <vt:variant>
        <vt:lpwstr/>
      </vt:variant>
      <vt:variant>
        <vt:i4>14680097</vt:i4>
      </vt:variant>
      <vt:variant>
        <vt:i4>6</vt:i4>
      </vt:variant>
      <vt:variant>
        <vt:i4>0</vt:i4>
      </vt:variant>
      <vt:variant>
        <vt:i4>5</vt:i4>
      </vt:variant>
      <vt:variant>
        <vt:lpwstr>http://www.secu-artistes-auteurs.fr/sites/default/files/pdf/Mode%20opératoire%20ouverture%20espace%20Urssaf.pdf</vt:lpwstr>
      </vt:variant>
      <vt:variant>
        <vt:lpwstr/>
      </vt:variant>
      <vt:variant>
        <vt:i4>6750308</vt:i4>
      </vt:variant>
      <vt:variant>
        <vt:i4>3</vt:i4>
      </vt:variant>
      <vt:variant>
        <vt:i4>0</vt:i4>
      </vt:variant>
      <vt:variant>
        <vt:i4>5</vt:i4>
      </vt:variant>
      <vt:variant>
        <vt:lpwstr>http://www.artistes-auteurs.urssaf.fr/</vt:lpwstr>
      </vt:variant>
      <vt:variant>
        <vt:lpwstr/>
      </vt:variant>
      <vt:variant>
        <vt:i4>7012385</vt:i4>
      </vt:variant>
      <vt:variant>
        <vt:i4>0</vt:i4>
      </vt:variant>
      <vt:variant>
        <vt:i4>0</vt:i4>
      </vt:variant>
      <vt:variant>
        <vt:i4>5</vt:i4>
      </vt:variant>
      <vt:variant>
        <vt:lpwstr>http://federationlivrejeunesse.fr/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des écrivains</dc:title>
  <dc:subject/>
  <dc:creator>Conseil General de la Somme</dc:creator>
  <cp:keywords/>
  <cp:lastModifiedBy>PEIGNARD Florent</cp:lastModifiedBy>
  <cp:revision>6</cp:revision>
  <cp:lastPrinted>1995-11-21T16:41:00Z</cp:lastPrinted>
  <dcterms:created xsi:type="dcterms:W3CDTF">2023-09-04T09:44:00Z</dcterms:created>
  <dcterms:modified xsi:type="dcterms:W3CDTF">2026-04-07T08:05:00Z</dcterms:modified>
</cp:coreProperties>
</file>